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DFEB" w14:textId="77777777" w:rsidR="00A66971" w:rsidRDefault="00A66971" w:rsidP="00A6697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Browallia New" w:hAnsi="Browallia New"/>
          <w:color w:val="auto"/>
          <w:sz w:val="30"/>
        </w:rPr>
      </w:pPr>
      <w:bookmarkStart w:id="0" w:name="_Toc211506732"/>
      <w:r w:rsidRPr="00A66971">
        <w:rPr>
          <w:rFonts w:ascii="Browallia New" w:hAnsi="Browallia New"/>
          <w:color w:val="auto"/>
          <w:sz w:val="30"/>
        </w:rPr>
        <w:t>Questionnaire</w:t>
      </w:r>
      <w:bookmarkEnd w:id="0"/>
    </w:p>
    <w:p w14:paraId="4334BF5A" w14:textId="5FFB3B03" w:rsidR="00EA15BB" w:rsidRPr="00EA15BB" w:rsidRDefault="00EA15BB" w:rsidP="00EA15BB">
      <w:pPr>
        <w:spacing w:before="120"/>
        <w:jc w:val="center"/>
      </w:pPr>
      <w:r w:rsidRPr="00EA15BB">
        <w:t xml:space="preserve">You can respond by completing the questionnaire which can be accessed via the link </w:t>
      </w:r>
      <w:hyperlink r:id="rId7" w:history="1">
        <w:r w:rsidR="008847E2" w:rsidRPr="00EC2335">
          <w:rPr>
            <w:rStyle w:val="Hyperlink"/>
          </w:rPr>
          <w:t>https://forms.gle/Kiun5QRsvrNojRdMA</w:t>
        </w:r>
      </w:hyperlink>
      <w:r w:rsidR="008847E2">
        <w:t xml:space="preserve"> </w:t>
      </w:r>
      <w:r w:rsidRPr="00EA15BB">
        <w:t xml:space="preserve">or complete and submit this form to </w:t>
      </w:r>
      <w:hyperlink r:id="rId8" w:history="1">
        <w:r w:rsidRPr="00EA15BB">
          <w:rPr>
            <w:u w:val="single"/>
          </w:rPr>
          <w:t>MarketSupervisionPolicyDepartment@set.or.th</w:t>
        </w:r>
      </w:hyperlink>
    </w:p>
    <w:p w14:paraId="599DB350" w14:textId="77777777" w:rsidR="00EA15BB" w:rsidRPr="00EA15BB" w:rsidRDefault="00EA15BB" w:rsidP="00EA15BB">
      <w:pPr>
        <w:numPr>
          <w:ilvl w:val="0"/>
          <w:numId w:val="1"/>
        </w:numPr>
        <w:snapToGrid w:val="0"/>
        <w:spacing w:before="120" w:after="240"/>
        <w:ind w:left="432"/>
      </w:pPr>
      <w:r w:rsidRPr="00EA15BB">
        <w:rPr>
          <w:b/>
          <w:bCs/>
        </w:rPr>
        <w:t>General Information</w:t>
      </w:r>
    </w:p>
    <w:tbl>
      <w:tblPr>
        <w:tblStyle w:val="TableGrid"/>
        <w:tblW w:w="902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2"/>
        <w:gridCol w:w="4134"/>
        <w:gridCol w:w="935"/>
        <w:gridCol w:w="2035"/>
      </w:tblGrid>
      <w:tr w:rsidR="00EA15BB" w:rsidRPr="00EA15BB" w14:paraId="1561E273" w14:textId="77777777" w:rsidTr="00CF334B">
        <w:tc>
          <w:tcPr>
            <w:tcW w:w="1922" w:type="dxa"/>
          </w:tcPr>
          <w:p w14:paraId="11F4F92E" w14:textId="77777777" w:rsidR="00EA15BB" w:rsidRPr="00EA15BB" w:rsidRDefault="00EA15BB" w:rsidP="00EA15BB">
            <w:pPr>
              <w:rPr>
                <w:cs/>
              </w:rPr>
            </w:pPr>
            <w:r w:rsidRPr="00EA15BB">
              <w:t>Name-Surname</w:t>
            </w:r>
          </w:p>
        </w:tc>
        <w:tc>
          <w:tcPr>
            <w:tcW w:w="7104" w:type="dxa"/>
            <w:gridSpan w:val="3"/>
            <w:tcBorders>
              <w:bottom w:val="dotted" w:sz="4" w:space="0" w:color="auto"/>
            </w:tcBorders>
          </w:tcPr>
          <w:p w14:paraId="7E080983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16EB61BD" w14:textId="77777777" w:rsidTr="00CF334B">
        <w:tc>
          <w:tcPr>
            <w:tcW w:w="1922" w:type="dxa"/>
          </w:tcPr>
          <w:p w14:paraId="673912FE" w14:textId="77777777" w:rsidR="00EA15BB" w:rsidRPr="00EA15BB" w:rsidRDefault="00EA15BB" w:rsidP="00EA15BB">
            <w:r w:rsidRPr="00EA15BB">
              <w:t>Company name</w:t>
            </w:r>
          </w:p>
        </w:tc>
        <w:tc>
          <w:tcPr>
            <w:tcW w:w="4134" w:type="dxa"/>
            <w:tcBorders>
              <w:top w:val="dotted" w:sz="4" w:space="0" w:color="auto"/>
              <w:bottom w:val="dotted" w:sz="4" w:space="0" w:color="auto"/>
            </w:tcBorders>
          </w:tcPr>
          <w:p w14:paraId="139A837A" w14:textId="77777777" w:rsidR="00EA15BB" w:rsidRPr="00EA15BB" w:rsidRDefault="00EA15BB" w:rsidP="00EA15BB"/>
        </w:tc>
        <w:tc>
          <w:tcPr>
            <w:tcW w:w="93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9B293B2" w14:textId="77777777" w:rsidR="00EA15BB" w:rsidRPr="00EA15BB" w:rsidRDefault="00EA15BB" w:rsidP="00EA15BB">
            <w:r w:rsidRPr="00EA15BB">
              <w:t>(Symbol</w:t>
            </w:r>
          </w:p>
        </w:tc>
        <w:tc>
          <w:tcPr>
            <w:tcW w:w="203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D8EC3B" w14:textId="77777777" w:rsidR="00EA15BB" w:rsidRPr="00EA15BB" w:rsidRDefault="00EA15BB" w:rsidP="00EA15BB">
            <w:pPr>
              <w:jc w:val="right"/>
            </w:pPr>
            <w:r w:rsidRPr="00EA15BB">
              <w:t xml:space="preserve"> )</w:t>
            </w:r>
          </w:p>
        </w:tc>
      </w:tr>
      <w:tr w:rsidR="00EA15BB" w:rsidRPr="00EA15BB" w14:paraId="12EECEBF" w14:textId="77777777" w:rsidTr="00CF334B">
        <w:tc>
          <w:tcPr>
            <w:tcW w:w="1922" w:type="dxa"/>
          </w:tcPr>
          <w:p w14:paraId="5F113C04" w14:textId="77777777" w:rsidR="00EA15BB" w:rsidRPr="00EA15BB" w:rsidRDefault="00EA15BB" w:rsidP="00EA15BB">
            <w:r w:rsidRPr="00EA15BB">
              <w:t>Position</w:t>
            </w:r>
          </w:p>
        </w:tc>
        <w:tc>
          <w:tcPr>
            <w:tcW w:w="71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3853AC" w14:textId="77777777" w:rsidR="00EA15BB" w:rsidRPr="00EA15BB" w:rsidRDefault="00EA15BB" w:rsidP="00EA15BB"/>
        </w:tc>
      </w:tr>
      <w:tr w:rsidR="00EA15BB" w:rsidRPr="00EA15BB" w14:paraId="347BFC4C" w14:textId="77777777" w:rsidTr="00CF334B">
        <w:tc>
          <w:tcPr>
            <w:tcW w:w="1922" w:type="dxa"/>
          </w:tcPr>
          <w:p w14:paraId="6E7E2005" w14:textId="77777777" w:rsidR="00EA15BB" w:rsidRPr="00EA15BB" w:rsidRDefault="00EA15BB" w:rsidP="00EA15BB">
            <w:pPr>
              <w:rPr>
                <w:cs/>
              </w:rPr>
            </w:pPr>
            <w:r w:rsidRPr="00EA15BB">
              <w:t>Telephone number</w:t>
            </w:r>
          </w:p>
        </w:tc>
        <w:tc>
          <w:tcPr>
            <w:tcW w:w="71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79F4737" w14:textId="77777777" w:rsidR="00EA15BB" w:rsidRPr="00EA15BB" w:rsidRDefault="00EA15BB" w:rsidP="00EA15BB"/>
        </w:tc>
      </w:tr>
      <w:tr w:rsidR="00EA15BB" w:rsidRPr="00EA15BB" w14:paraId="4083A889" w14:textId="77777777" w:rsidTr="00CF334B">
        <w:tc>
          <w:tcPr>
            <w:tcW w:w="1922" w:type="dxa"/>
          </w:tcPr>
          <w:p w14:paraId="138AB811" w14:textId="77777777" w:rsidR="00EA15BB" w:rsidRPr="00EA15BB" w:rsidRDefault="00EA15BB" w:rsidP="00EA15BB">
            <w:pPr>
              <w:rPr>
                <w:cs/>
              </w:rPr>
            </w:pPr>
            <w:r w:rsidRPr="00EA15BB">
              <w:t>E-mail address</w:t>
            </w:r>
          </w:p>
        </w:tc>
        <w:tc>
          <w:tcPr>
            <w:tcW w:w="710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C43074" w14:textId="77777777" w:rsidR="00EA15BB" w:rsidRPr="00EA15BB" w:rsidRDefault="00EA15BB" w:rsidP="00EA15BB"/>
        </w:tc>
      </w:tr>
    </w:tbl>
    <w:p w14:paraId="15E553CF" w14:textId="77777777" w:rsidR="00EA15BB" w:rsidRPr="00EA15BB" w:rsidRDefault="00EA15BB" w:rsidP="00EA15BB">
      <w:pPr>
        <w:spacing w:before="120" w:after="120"/>
        <w:ind w:left="142"/>
      </w:pPr>
      <w:r w:rsidRPr="00EA15BB">
        <w:t>Category of the respondent (You may choose more than one.)</w:t>
      </w:r>
    </w:p>
    <w:tbl>
      <w:tblPr>
        <w:tblStyle w:val="TableGrid"/>
        <w:tblW w:w="9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8"/>
        <w:gridCol w:w="4582"/>
      </w:tblGrid>
      <w:tr w:rsidR="00EA15BB" w:rsidRPr="00EA15BB" w14:paraId="19FF00A5" w14:textId="77777777" w:rsidTr="00CF334B">
        <w:tc>
          <w:tcPr>
            <w:tcW w:w="5348" w:type="dxa"/>
          </w:tcPr>
          <w:p w14:paraId="19CCDCFB" w14:textId="77777777" w:rsidR="00EA15BB" w:rsidRPr="00EA15BB" w:rsidRDefault="00EA15BB" w:rsidP="00EA15BB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A15BB">
              <w:rPr>
                <w:rFonts w:ascii="BrowalliaUPC" w:hAnsi="BrowalliaUPC" w:cs="BrowalliaUPC"/>
              </w:rPr>
              <w:sym w:font="Wingdings 2" w:char="F0A3"/>
            </w:r>
            <w:r w:rsidRPr="00EA15BB">
              <w:rPr>
                <w:rFonts w:ascii="BrowalliaUPC" w:hAnsi="BrowalliaUPC" w:cs="BrowalliaUPC"/>
              </w:rPr>
              <w:tab/>
              <w:t>Listed Company</w:t>
            </w:r>
          </w:p>
        </w:tc>
        <w:tc>
          <w:tcPr>
            <w:tcW w:w="4582" w:type="dxa"/>
          </w:tcPr>
          <w:p w14:paraId="6346462C" w14:textId="77777777" w:rsidR="00EA15BB" w:rsidRPr="00EA15BB" w:rsidRDefault="00EA15BB" w:rsidP="00EA15BB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A15BB">
              <w:rPr>
                <w:rFonts w:ascii="BrowalliaUPC" w:hAnsi="BrowalliaUPC" w:cs="BrowalliaUPC"/>
              </w:rPr>
              <w:sym w:font="Wingdings 2" w:char="F0A3"/>
            </w:r>
            <w:r w:rsidRPr="00EA15BB">
              <w:rPr>
                <w:rFonts w:ascii="BrowalliaUPC" w:hAnsi="BrowalliaUPC" w:cs="BrowalliaUPC"/>
              </w:rPr>
              <w:tab/>
              <w:t xml:space="preserve">Securities Firms / Financial Advisors </w:t>
            </w:r>
          </w:p>
        </w:tc>
      </w:tr>
      <w:tr w:rsidR="00EA15BB" w:rsidRPr="00EA15BB" w14:paraId="7A7EAB88" w14:textId="77777777" w:rsidTr="00CF334B">
        <w:tc>
          <w:tcPr>
            <w:tcW w:w="5348" w:type="dxa"/>
          </w:tcPr>
          <w:p w14:paraId="66C87AAD" w14:textId="77777777" w:rsidR="00EA15BB" w:rsidRPr="00EA15BB" w:rsidRDefault="00EA15BB" w:rsidP="00EA15BB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A15BB">
              <w:rPr>
                <w:rFonts w:ascii="BrowalliaUPC" w:hAnsi="BrowalliaUPC" w:cs="BrowalliaUPC"/>
              </w:rPr>
              <w:sym w:font="Wingdings 2" w:char="F0A3"/>
            </w:r>
            <w:r w:rsidRPr="00EA15BB">
              <w:rPr>
                <w:rFonts w:ascii="BrowalliaUPC" w:hAnsi="BrowalliaUPC" w:cs="BrowalliaUPC"/>
              </w:rPr>
              <w:tab/>
              <w:t>Legal Advisor</w:t>
            </w:r>
          </w:p>
        </w:tc>
        <w:tc>
          <w:tcPr>
            <w:tcW w:w="4582" w:type="dxa"/>
          </w:tcPr>
          <w:p w14:paraId="34173CA7" w14:textId="77777777" w:rsidR="00EA15BB" w:rsidRPr="00EA15BB" w:rsidRDefault="00EA15BB" w:rsidP="00EA15BB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A15BB">
              <w:rPr>
                <w:rFonts w:ascii="BrowalliaUPC" w:hAnsi="BrowalliaUPC" w:cs="BrowalliaUPC"/>
              </w:rPr>
              <w:sym w:font="Wingdings 2" w:char="F0A3"/>
            </w:r>
            <w:r w:rsidRPr="00EA15BB">
              <w:rPr>
                <w:rFonts w:ascii="BrowalliaUPC" w:hAnsi="BrowalliaUPC" w:cs="BrowalliaUPC"/>
              </w:rPr>
              <w:tab/>
              <w:t>Individual Investor</w:t>
            </w:r>
            <w:r w:rsidRPr="00EA15BB" w:rsidDel="00DE29DC">
              <w:rPr>
                <w:rFonts w:ascii="BrowalliaUPC" w:hAnsi="BrowalliaUPC" w:cs="BrowalliaUPC"/>
              </w:rPr>
              <w:t xml:space="preserve"> </w:t>
            </w:r>
          </w:p>
        </w:tc>
      </w:tr>
      <w:tr w:rsidR="00EA15BB" w:rsidRPr="00EA15BB" w14:paraId="4DB4F760" w14:textId="77777777" w:rsidTr="00CF334B">
        <w:tc>
          <w:tcPr>
            <w:tcW w:w="5348" w:type="dxa"/>
          </w:tcPr>
          <w:p w14:paraId="68876A94" w14:textId="77777777" w:rsidR="00EA15BB" w:rsidRPr="00EA15BB" w:rsidRDefault="00EA15BB" w:rsidP="00EA15BB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A15BB">
              <w:rPr>
                <w:rFonts w:ascii="BrowalliaUPC" w:hAnsi="BrowalliaUPC" w:cs="BrowalliaUPC"/>
              </w:rPr>
              <w:sym w:font="Wingdings 2" w:char="F0A3"/>
            </w:r>
            <w:r w:rsidRPr="00EA15BB">
              <w:rPr>
                <w:rFonts w:ascii="BrowalliaUPC" w:hAnsi="BrowalliaUPC" w:cs="BrowalliaUPC"/>
              </w:rPr>
              <w:tab/>
              <w:t>Institutional Investor</w:t>
            </w:r>
            <w:r w:rsidRPr="00EA15BB">
              <w:rPr>
                <w:rFonts w:ascii="BrowalliaUPC" w:hAnsi="BrowalliaUPC" w:cs="BrowalliaUPC" w:hint="cs"/>
              </w:rPr>
              <w:t xml:space="preserve"> / </w:t>
            </w:r>
            <w:r w:rsidRPr="00EA15BB">
              <w:rPr>
                <w:rFonts w:ascii="BrowalliaUPC" w:hAnsi="BrowalliaUPC" w:cs="BrowalliaUPC"/>
              </w:rPr>
              <w:t>Asset Management Companies</w:t>
            </w:r>
          </w:p>
        </w:tc>
        <w:tc>
          <w:tcPr>
            <w:tcW w:w="4582" w:type="dxa"/>
          </w:tcPr>
          <w:p w14:paraId="2E109871" w14:textId="77777777" w:rsidR="00EA15BB" w:rsidRPr="00EA15BB" w:rsidRDefault="00EA15BB" w:rsidP="00EA15BB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A15BB">
              <w:rPr>
                <w:rFonts w:ascii="BrowalliaUPC" w:hAnsi="BrowalliaUPC" w:cs="BrowalliaUPC"/>
              </w:rPr>
              <w:sym w:font="Wingdings 2" w:char="F0A3"/>
            </w:r>
            <w:r w:rsidRPr="00EA15BB">
              <w:rPr>
                <w:rFonts w:ascii="BrowalliaUPC" w:hAnsi="BrowalliaUPC" w:cs="BrowalliaUPC"/>
              </w:rPr>
              <w:tab/>
              <w:t>Other (Please specify)..................................</w:t>
            </w:r>
          </w:p>
        </w:tc>
      </w:tr>
    </w:tbl>
    <w:p w14:paraId="3282ECED" w14:textId="77777777" w:rsidR="00EA15BB" w:rsidRPr="00EA15BB" w:rsidRDefault="00EA15BB" w:rsidP="00EA15BB">
      <w:pPr>
        <w:numPr>
          <w:ilvl w:val="0"/>
          <w:numId w:val="1"/>
        </w:numPr>
        <w:snapToGrid w:val="0"/>
        <w:spacing w:before="240"/>
        <w:ind w:left="432" w:right="-274"/>
        <w:rPr>
          <w:spacing w:val="-6"/>
        </w:rPr>
      </w:pPr>
      <w:r w:rsidRPr="00EA15BB">
        <w:rPr>
          <w:b/>
          <w:bCs/>
          <w:spacing w:val="-6"/>
        </w:rPr>
        <w:t>Request for Comment</w:t>
      </w:r>
      <w:r w:rsidRPr="00EA15BB">
        <w:rPr>
          <w:spacing w:val="-6"/>
        </w:rPr>
        <w:t xml:space="preserve"> (If you agree but the details are otherwise, or disagree, please provide your reasons.)</w:t>
      </w:r>
    </w:p>
    <w:p w14:paraId="63C80BC6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ascii="Tahoma" w:eastAsia="Malgun Gothic" w:hAnsi="Tahoma" w:cs="Tahoma"/>
          <w:b/>
          <w:bCs/>
          <w:sz w:val="24"/>
        </w:rPr>
      </w:pPr>
    </w:p>
    <w:p w14:paraId="0C78964E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t>Question</w:t>
      </w:r>
      <w:r w:rsidRPr="00EA15BB">
        <w:rPr>
          <w:rFonts w:eastAsia="Malgun Gothic" w:hint="cs"/>
          <w:b/>
          <w:bCs/>
        </w:rPr>
        <w:t xml:space="preserve"> </w:t>
      </w:r>
      <w:r w:rsidRPr="00EA15BB">
        <w:rPr>
          <w:rFonts w:eastAsia="Malgun Gothic"/>
          <w:b/>
          <w:bCs/>
        </w:rPr>
        <w:t>1: Disclosure of Shareholders' List</w:t>
      </w:r>
    </w:p>
    <w:p w14:paraId="092AECFB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1.1</w:t>
      </w:r>
      <w:r w:rsidRPr="00EA15BB">
        <w:rPr>
          <w:rFonts w:eastAsia="Malgun Gothic" w:hint="cs"/>
        </w:rPr>
        <w:t xml:space="preserve"> </w:t>
      </w:r>
      <w:r w:rsidRPr="00EA15BB">
        <w:rPr>
          <w:rFonts w:eastAsia="Malgun Gothic"/>
        </w:rPr>
        <w:t>Do you agree with the requirement for disclosure of the updated shareholders’ list when there is a report of a change in shareholding of every 5% of total voting rights (Form 246) and a report of a Tender Offer results (Form 256), with monthly disclosure following such reports?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4E48D2E0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4ED206F7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6A620AE5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3E438903" w14:textId="77777777" w:rsidTr="00EA15BB">
        <w:trPr>
          <w:trHeight w:val="1204"/>
          <w:jc w:val="center"/>
        </w:trPr>
        <w:tc>
          <w:tcPr>
            <w:tcW w:w="2376" w:type="dxa"/>
          </w:tcPr>
          <w:p w14:paraId="5ACEB37D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46C8B3A0" w14:textId="77777777" w:rsidR="00EA15BB" w:rsidRPr="00EA15BB" w:rsidRDefault="00EA15BB" w:rsidP="00EA15BB">
            <w:r w:rsidRPr="00EA15BB">
              <w:t>(Please explain your reasoning)</w:t>
            </w:r>
          </w:p>
          <w:p w14:paraId="1C9FEC93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6BB77EA9" w14:textId="77777777" w:rsidTr="00EA15BB">
        <w:trPr>
          <w:trHeight w:val="1258"/>
          <w:jc w:val="center"/>
        </w:trPr>
        <w:tc>
          <w:tcPr>
            <w:tcW w:w="2376" w:type="dxa"/>
          </w:tcPr>
          <w:p w14:paraId="3FEC081D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5D001A13" w14:textId="77777777" w:rsidR="00EA15BB" w:rsidRPr="00EA15BB" w:rsidRDefault="00EA15BB" w:rsidP="00EA15BB"/>
        </w:tc>
        <w:tc>
          <w:tcPr>
            <w:tcW w:w="6271" w:type="dxa"/>
          </w:tcPr>
          <w:p w14:paraId="67F52710" w14:textId="77777777" w:rsidR="00EA15BB" w:rsidRPr="00EA15BB" w:rsidRDefault="00EA15BB" w:rsidP="00EA15BB">
            <w:r w:rsidRPr="00EA15BB">
              <w:t>(Please explain your reasoning)</w:t>
            </w:r>
          </w:p>
          <w:p w14:paraId="42E87AB0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DD37AF3" w14:textId="77777777" w:rsidTr="00EA15BB">
        <w:trPr>
          <w:trHeight w:val="1699"/>
          <w:jc w:val="center"/>
        </w:trPr>
        <w:tc>
          <w:tcPr>
            <w:tcW w:w="8647" w:type="dxa"/>
            <w:gridSpan w:val="2"/>
          </w:tcPr>
          <w:p w14:paraId="79831998" w14:textId="77777777" w:rsidR="00EA15BB" w:rsidRPr="00EA15BB" w:rsidRDefault="00EA15BB" w:rsidP="00EA15BB">
            <w:r w:rsidRPr="00EA15BB">
              <w:t xml:space="preserve">Other suggestions: </w:t>
            </w:r>
          </w:p>
          <w:p w14:paraId="3579D454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55208D59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5CDB7DB3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>1.2</w:t>
      </w:r>
      <w:r w:rsidRPr="00EA15BB">
        <w:rPr>
          <w:rFonts w:eastAsia="Malgun Gothic" w:hint="cs"/>
        </w:rPr>
        <w:t xml:space="preserve"> </w:t>
      </w:r>
      <w:r w:rsidRPr="00EA15BB">
        <w:rPr>
          <w:rFonts w:eastAsia="Malgun Gothic"/>
        </w:rPr>
        <w:t>Do you agree with the 'Notice Pending' (NP) designation when a company fails to disclose its shareholders’ list as required?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57928117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B722B38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5F0F277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2CCC4E51" w14:textId="77777777" w:rsidTr="00EA15BB">
        <w:trPr>
          <w:trHeight w:val="1177"/>
          <w:jc w:val="center"/>
        </w:trPr>
        <w:tc>
          <w:tcPr>
            <w:tcW w:w="2376" w:type="dxa"/>
          </w:tcPr>
          <w:p w14:paraId="2A6F4299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095AA900" w14:textId="77777777" w:rsidR="00EA15BB" w:rsidRPr="00EA15BB" w:rsidRDefault="00EA15BB" w:rsidP="00EA15BB">
            <w:r w:rsidRPr="00EA15BB">
              <w:t>(Please explain your reasoning)</w:t>
            </w:r>
          </w:p>
          <w:p w14:paraId="76120810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2BD01B5" w14:textId="77777777" w:rsidTr="00EA15BB">
        <w:trPr>
          <w:trHeight w:val="1339"/>
          <w:jc w:val="center"/>
        </w:trPr>
        <w:tc>
          <w:tcPr>
            <w:tcW w:w="2376" w:type="dxa"/>
          </w:tcPr>
          <w:p w14:paraId="34E540AF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59EF4972" w14:textId="77777777" w:rsidR="00EA15BB" w:rsidRPr="00EA15BB" w:rsidRDefault="00EA15BB" w:rsidP="00EA15BB"/>
        </w:tc>
        <w:tc>
          <w:tcPr>
            <w:tcW w:w="6271" w:type="dxa"/>
          </w:tcPr>
          <w:p w14:paraId="4BE18C61" w14:textId="77777777" w:rsidR="00EA15BB" w:rsidRPr="00EA15BB" w:rsidRDefault="00EA15BB" w:rsidP="00EA15BB">
            <w:r w:rsidRPr="00EA15BB">
              <w:t>(Please explain your reasoning)</w:t>
            </w:r>
          </w:p>
          <w:p w14:paraId="26D349A5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44427921" w14:textId="77777777" w:rsidTr="00EA15BB">
        <w:trPr>
          <w:trHeight w:val="1879"/>
          <w:jc w:val="center"/>
        </w:trPr>
        <w:tc>
          <w:tcPr>
            <w:tcW w:w="8647" w:type="dxa"/>
            <w:gridSpan w:val="2"/>
          </w:tcPr>
          <w:p w14:paraId="77F72A28" w14:textId="77777777" w:rsidR="00EA15BB" w:rsidRPr="00EA15BB" w:rsidRDefault="00EA15BB" w:rsidP="00EA15BB">
            <w:r w:rsidRPr="00EA15BB">
              <w:t xml:space="preserve">Other suggestions: </w:t>
            </w:r>
          </w:p>
          <w:p w14:paraId="60194394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452DC433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07CCB0DF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1.3</w:t>
      </w:r>
      <w:r w:rsidRPr="00EA15BB">
        <w:rPr>
          <w:rFonts w:eastAsia="Malgun Gothic"/>
          <w:cs/>
        </w:rPr>
        <w:t xml:space="preserve"> </w:t>
      </w:r>
      <w:r w:rsidRPr="00EA15BB">
        <w:rPr>
          <w:rFonts w:eastAsia="Malgun Gothic"/>
        </w:rPr>
        <w:t>Do you agree with the requirement for Thai NVDR Company Limited (NVDR) to disclose the list of holders simultaneously with the listed company in all cases?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1209E362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2AA1468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61DDB8DD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088C4EA9" w14:textId="77777777" w:rsidTr="00EA15BB">
        <w:trPr>
          <w:trHeight w:val="1231"/>
          <w:jc w:val="center"/>
        </w:trPr>
        <w:tc>
          <w:tcPr>
            <w:tcW w:w="2376" w:type="dxa"/>
          </w:tcPr>
          <w:p w14:paraId="2064EC10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5AC0E3E6" w14:textId="77777777" w:rsidR="00EA15BB" w:rsidRPr="00EA15BB" w:rsidRDefault="00EA15BB" w:rsidP="00EA15BB">
            <w:r w:rsidRPr="00EA15BB">
              <w:t>(Please explain your reasoning)</w:t>
            </w:r>
          </w:p>
          <w:p w14:paraId="34F3D056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9843A7A" w14:textId="77777777" w:rsidTr="00EA15BB">
        <w:trPr>
          <w:trHeight w:val="1348"/>
          <w:jc w:val="center"/>
        </w:trPr>
        <w:tc>
          <w:tcPr>
            <w:tcW w:w="2376" w:type="dxa"/>
          </w:tcPr>
          <w:p w14:paraId="09B24D97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18574312" w14:textId="77777777" w:rsidR="00EA15BB" w:rsidRPr="00EA15BB" w:rsidRDefault="00EA15BB" w:rsidP="00EA15BB"/>
        </w:tc>
        <w:tc>
          <w:tcPr>
            <w:tcW w:w="6271" w:type="dxa"/>
          </w:tcPr>
          <w:p w14:paraId="66B4B944" w14:textId="77777777" w:rsidR="00EA15BB" w:rsidRPr="00EA15BB" w:rsidRDefault="00EA15BB" w:rsidP="00EA15BB">
            <w:r w:rsidRPr="00EA15BB">
              <w:t>(Please explain your reasoning)</w:t>
            </w:r>
          </w:p>
          <w:p w14:paraId="3E345A97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06429022" w14:textId="77777777" w:rsidTr="00EA15BB">
        <w:trPr>
          <w:trHeight w:val="2059"/>
          <w:jc w:val="center"/>
        </w:trPr>
        <w:tc>
          <w:tcPr>
            <w:tcW w:w="8647" w:type="dxa"/>
            <w:gridSpan w:val="2"/>
          </w:tcPr>
          <w:p w14:paraId="60C4628A" w14:textId="77777777" w:rsidR="00EA15BB" w:rsidRPr="00EA15BB" w:rsidRDefault="00EA15BB" w:rsidP="00EA15BB">
            <w:r w:rsidRPr="00EA15BB">
              <w:t xml:space="preserve">Other suggestions: </w:t>
            </w:r>
          </w:p>
          <w:p w14:paraId="69052AA9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42A009B2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10A0C4FD" w14:textId="77777777" w:rsidR="00EA15BB" w:rsidRPr="00EA15BB" w:rsidRDefault="00EA15BB" w:rsidP="00EA15BB">
      <w:pPr>
        <w:rPr>
          <w:rFonts w:eastAsia="Malgun Gothic"/>
        </w:rPr>
      </w:pPr>
      <w:r w:rsidRPr="00EA15BB">
        <w:rPr>
          <w:rFonts w:eastAsia="Malgun Gothic"/>
        </w:rPr>
        <w:br w:type="page"/>
      </w:r>
    </w:p>
    <w:p w14:paraId="02B1D0CA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lastRenderedPageBreak/>
        <w:t>Question</w:t>
      </w:r>
      <w:r w:rsidRPr="00EA15BB">
        <w:rPr>
          <w:rFonts w:eastAsia="Malgun Gothic" w:hint="cs"/>
          <w:b/>
          <w:bCs/>
        </w:rPr>
        <w:t xml:space="preserve"> 2</w:t>
      </w:r>
      <w:r w:rsidRPr="00EA15BB">
        <w:rPr>
          <w:rFonts w:eastAsia="Malgun Gothic"/>
          <w:b/>
          <w:bCs/>
        </w:rPr>
        <w:t>: Disclosure of Transactions Posing Risks to Financial Position and Operating Results</w:t>
      </w:r>
    </w:p>
    <w:p w14:paraId="7AA395AB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cs/>
        </w:rPr>
      </w:pPr>
      <w:r w:rsidRPr="00EA15BB">
        <w:rPr>
          <w:rFonts w:eastAsia="Malgun Gothic"/>
        </w:rPr>
        <w:t>Do you agree with enhancing timely disclosure requirements when a listed company or its subsidiary has transactions that may affect the financial position and operating results, as follows:</w:t>
      </w:r>
    </w:p>
    <w:p w14:paraId="70B1BB7B" w14:textId="77777777" w:rsidR="00EA15BB" w:rsidRPr="00EA15BB" w:rsidRDefault="00EA15BB" w:rsidP="00EA15BB">
      <w:pPr>
        <w:numPr>
          <w:ilvl w:val="1"/>
          <w:numId w:val="2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 xml:space="preserve">Upon recoding of asset impairment, provisions for expected credit losses or similar asset-related items, or failure to recover deposits by the due date, where amounts are material, defined as: exceeding 50% of the specific transaction value, exceeding 50% of operating revenues, or causing a company to report a loss. 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614B46C8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D723FEA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530AD2F1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71D07FE7" w14:textId="77777777" w:rsidTr="00EA15BB">
        <w:trPr>
          <w:trHeight w:val="1177"/>
          <w:jc w:val="center"/>
        </w:trPr>
        <w:tc>
          <w:tcPr>
            <w:tcW w:w="2376" w:type="dxa"/>
          </w:tcPr>
          <w:p w14:paraId="1FE761B1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0A9B8085" w14:textId="77777777" w:rsidR="00EA15BB" w:rsidRPr="00EA15BB" w:rsidRDefault="00EA15BB" w:rsidP="00EA15BB">
            <w:r w:rsidRPr="00EA15BB">
              <w:t>(Please explain your reasoning)</w:t>
            </w:r>
          </w:p>
          <w:p w14:paraId="0A9E3128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966C524" w14:textId="77777777" w:rsidTr="00EA15BB">
        <w:trPr>
          <w:trHeight w:val="1159"/>
          <w:jc w:val="center"/>
        </w:trPr>
        <w:tc>
          <w:tcPr>
            <w:tcW w:w="2376" w:type="dxa"/>
          </w:tcPr>
          <w:p w14:paraId="66C7BFD8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1817B649" w14:textId="77777777" w:rsidR="00EA15BB" w:rsidRPr="00EA15BB" w:rsidRDefault="00EA15BB" w:rsidP="00EA15BB"/>
        </w:tc>
        <w:tc>
          <w:tcPr>
            <w:tcW w:w="6271" w:type="dxa"/>
          </w:tcPr>
          <w:p w14:paraId="60B8C8D0" w14:textId="77777777" w:rsidR="00EA15BB" w:rsidRPr="00EA15BB" w:rsidRDefault="00EA15BB" w:rsidP="00EA15BB">
            <w:r w:rsidRPr="00EA15BB">
              <w:t>(Please explain your reasoning)</w:t>
            </w:r>
          </w:p>
          <w:p w14:paraId="2BFCB98B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6D8A9A90" w14:textId="77777777" w:rsidTr="00EA15BB">
        <w:trPr>
          <w:trHeight w:val="1699"/>
          <w:jc w:val="center"/>
        </w:trPr>
        <w:tc>
          <w:tcPr>
            <w:tcW w:w="8647" w:type="dxa"/>
            <w:gridSpan w:val="2"/>
          </w:tcPr>
          <w:p w14:paraId="16A5C009" w14:textId="77777777" w:rsidR="00EA15BB" w:rsidRPr="00EA15BB" w:rsidRDefault="00EA15BB" w:rsidP="00EA15BB">
            <w:r w:rsidRPr="00EA15BB">
              <w:t xml:space="preserve">Other suggestions: </w:t>
            </w:r>
          </w:p>
          <w:p w14:paraId="6FC4D775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79587846" w14:textId="77777777" w:rsidR="00EA15BB" w:rsidRPr="00EA15BB" w:rsidRDefault="00EA15BB" w:rsidP="00EA15BB">
      <w:pPr>
        <w:shd w:val="clear" w:color="auto" w:fill="FFFFFF"/>
        <w:snapToGrid w:val="0"/>
        <w:spacing w:after="120"/>
        <w:ind w:left="360" w:right="86"/>
        <w:jc w:val="thaiDistribute"/>
        <w:textAlignment w:val="baseline"/>
        <w:rPr>
          <w:rFonts w:eastAsia="Malgun Gothic"/>
        </w:rPr>
      </w:pPr>
    </w:p>
    <w:p w14:paraId="520B2045" w14:textId="77777777" w:rsidR="00EA15BB" w:rsidRPr="00EA15BB" w:rsidRDefault="00EA15BB" w:rsidP="00EA15BB">
      <w:pPr>
        <w:numPr>
          <w:ilvl w:val="1"/>
          <w:numId w:val="2"/>
        </w:num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Upon determination by the listed company or its audit committee that significant events or indicators exist that may adversely impact internal control systems, including but not limited to a notification from the external auditor concerning internal controls deficiencies.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486C1E73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FE1E73D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6870BF69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614F7CE0" w14:textId="77777777" w:rsidTr="00EA15BB">
        <w:trPr>
          <w:trHeight w:val="1042"/>
          <w:jc w:val="center"/>
        </w:trPr>
        <w:tc>
          <w:tcPr>
            <w:tcW w:w="2376" w:type="dxa"/>
          </w:tcPr>
          <w:p w14:paraId="76D8EC8E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7AF7E810" w14:textId="77777777" w:rsidR="00EA15BB" w:rsidRPr="00EA15BB" w:rsidRDefault="00EA15BB" w:rsidP="00EA15BB">
            <w:r w:rsidRPr="00EA15BB">
              <w:t>(Please explain your reasoning)</w:t>
            </w:r>
          </w:p>
          <w:p w14:paraId="138E9DFC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F4CA83A" w14:textId="77777777" w:rsidTr="00EA15BB">
        <w:trPr>
          <w:trHeight w:val="1168"/>
          <w:jc w:val="center"/>
        </w:trPr>
        <w:tc>
          <w:tcPr>
            <w:tcW w:w="2376" w:type="dxa"/>
          </w:tcPr>
          <w:p w14:paraId="41767D49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79B1202C" w14:textId="77777777" w:rsidR="00EA15BB" w:rsidRPr="00EA15BB" w:rsidRDefault="00EA15BB" w:rsidP="00EA15BB"/>
        </w:tc>
        <w:tc>
          <w:tcPr>
            <w:tcW w:w="6271" w:type="dxa"/>
          </w:tcPr>
          <w:p w14:paraId="1B2C4334" w14:textId="77777777" w:rsidR="00EA15BB" w:rsidRPr="00EA15BB" w:rsidRDefault="00EA15BB" w:rsidP="00EA15BB">
            <w:r w:rsidRPr="00EA15BB">
              <w:t>(Please explain your reasoning)</w:t>
            </w:r>
          </w:p>
          <w:p w14:paraId="0C1AE840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F2C334B" w14:textId="77777777" w:rsidTr="00EA15BB">
        <w:trPr>
          <w:trHeight w:val="1519"/>
          <w:jc w:val="center"/>
        </w:trPr>
        <w:tc>
          <w:tcPr>
            <w:tcW w:w="8647" w:type="dxa"/>
            <w:gridSpan w:val="2"/>
          </w:tcPr>
          <w:p w14:paraId="3ADEB620" w14:textId="77777777" w:rsidR="00EA15BB" w:rsidRPr="00EA15BB" w:rsidRDefault="00EA15BB" w:rsidP="00EA15BB">
            <w:r w:rsidRPr="00EA15BB">
              <w:t xml:space="preserve">Other suggestions: </w:t>
            </w:r>
          </w:p>
          <w:p w14:paraId="0CFDC99D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5DB8CB57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lastRenderedPageBreak/>
        <w:t>Question</w:t>
      </w:r>
      <w:r w:rsidRPr="00EA15BB">
        <w:rPr>
          <w:rFonts w:eastAsia="Malgun Gothic" w:hint="cs"/>
          <w:b/>
          <w:bCs/>
        </w:rPr>
        <w:t xml:space="preserve"> </w:t>
      </w:r>
      <w:r w:rsidRPr="00EA15BB">
        <w:rPr>
          <w:rFonts w:eastAsia="Malgun Gothic"/>
          <w:b/>
          <w:bCs/>
        </w:rPr>
        <w:t xml:space="preserve">3: Revision of Backdoor Listing Rules </w:t>
      </w:r>
    </w:p>
    <w:p w14:paraId="155DB5A1" w14:textId="77777777" w:rsidR="00EA15BB" w:rsidRPr="00EA15BB" w:rsidRDefault="00EA15BB" w:rsidP="00EA15BB">
      <w:pPr>
        <w:shd w:val="clear" w:color="auto" w:fill="FFFFFF"/>
        <w:snapToGrid w:val="0"/>
        <w:spacing w:before="240"/>
        <w:ind w:right="85"/>
        <w:jc w:val="center"/>
        <w:textAlignment w:val="baseline"/>
        <w:rPr>
          <w:rFonts w:eastAsia="Malgun Gothic"/>
        </w:rPr>
      </w:pPr>
      <w:r w:rsidRPr="00EA15BB">
        <w:rPr>
          <w:rFonts w:eastAsia="Malgun Gothic"/>
          <w:b/>
          <w:bCs/>
        </w:rPr>
        <w:t>Overview of the Backdoor Listing Rules (</w:t>
      </w:r>
      <w:r w:rsidRPr="00EA15BB">
        <w:rPr>
          <w:rFonts w:eastAsia="Times New Roman"/>
          <w:b/>
          <w:bCs/>
          <w:color w:val="0000CC"/>
        </w:rPr>
        <w:t>Proposed Revisions Indicated in Blue</w:t>
      </w:r>
      <w:r w:rsidRPr="00EA15BB">
        <w:rPr>
          <w:rFonts w:eastAsia="Malgun Gothic"/>
          <w:b/>
          <w:bCs/>
        </w:rPr>
        <w:t>)</w:t>
      </w:r>
    </w:p>
    <w:p w14:paraId="470D9FFA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ascii="Tahoma" w:eastAsia="Times New Roman" w:hAnsi="Tahoma" w:cs="Tahoma"/>
          <w:noProof/>
          <w:sz w:val="24"/>
          <w:szCs w:val="24"/>
        </w:rPr>
        <w:drawing>
          <wp:inline distT="0" distB="0" distL="0" distR="0" wp14:anchorId="2B828E43" wp14:editId="4A9873BC">
            <wp:extent cx="6028107" cy="4004461"/>
            <wp:effectExtent l="0" t="0" r="0" b="0"/>
            <wp:docPr id="1204432742" name="Picture 1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32742" name="Picture 11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702" cy="400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F2664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 xml:space="preserve">3.1 Do you agree with the revision to the criteria for determination Backdoor Listing, </w:t>
      </w:r>
      <w:r w:rsidRPr="00EA15BB">
        <w:rPr>
          <w:rFonts w:eastAsia="Malgun Gothic"/>
          <w:u w:val="single"/>
        </w:rPr>
        <w:t>by removing the limitation to the acquisition of assets from a non-listed company</w:t>
      </w:r>
      <w:r w:rsidRPr="00EA15BB">
        <w:rPr>
          <w:rFonts w:eastAsia="Malgun Gothic"/>
        </w:rPr>
        <w:t>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2A15F8AB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030ABBB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6392A3C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4A1DA76A" w14:textId="77777777" w:rsidTr="00EA15BB">
        <w:trPr>
          <w:jc w:val="center"/>
        </w:trPr>
        <w:tc>
          <w:tcPr>
            <w:tcW w:w="2376" w:type="dxa"/>
          </w:tcPr>
          <w:p w14:paraId="27F18CCB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78B304F6" w14:textId="77777777" w:rsidR="00EA15BB" w:rsidRPr="00EA15BB" w:rsidRDefault="00EA15BB" w:rsidP="00EA15BB">
            <w:r w:rsidRPr="00EA15BB">
              <w:t>(Please explain your reasoning)</w:t>
            </w:r>
          </w:p>
          <w:p w14:paraId="06D23A92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45E199FA" w14:textId="77777777" w:rsidTr="00EA15BB">
        <w:trPr>
          <w:jc w:val="center"/>
        </w:trPr>
        <w:tc>
          <w:tcPr>
            <w:tcW w:w="2376" w:type="dxa"/>
          </w:tcPr>
          <w:p w14:paraId="6EAC6612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66D4B533" w14:textId="77777777" w:rsidR="00EA15BB" w:rsidRPr="00EA15BB" w:rsidRDefault="00EA15BB" w:rsidP="00EA15BB"/>
        </w:tc>
        <w:tc>
          <w:tcPr>
            <w:tcW w:w="6271" w:type="dxa"/>
          </w:tcPr>
          <w:p w14:paraId="09385EB1" w14:textId="77777777" w:rsidR="00EA15BB" w:rsidRPr="00EA15BB" w:rsidRDefault="00EA15BB" w:rsidP="00EA15BB">
            <w:r w:rsidRPr="00EA15BB">
              <w:t>(Please explain your reasoning)</w:t>
            </w:r>
          </w:p>
          <w:p w14:paraId="529554C3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5BD4E5FE" w14:textId="77777777" w:rsidTr="00EA15BB">
        <w:trPr>
          <w:trHeight w:val="1133"/>
          <w:jc w:val="center"/>
        </w:trPr>
        <w:tc>
          <w:tcPr>
            <w:tcW w:w="8647" w:type="dxa"/>
            <w:gridSpan w:val="2"/>
          </w:tcPr>
          <w:p w14:paraId="7ADCDD30" w14:textId="77777777" w:rsidR="00EA15BB" w:rsidRPr="00EA15BB" w:rsidRDefault="00EA15BB" w:rsidP="00EA15BB">
            <w:r w:rsidRPr="00EA15BB">
              <w:t xml:space="preserve">Other suggestions: </w:t>
            </w:r>
          </w:p>
          <w:p w14:paraId="061E84AF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118838DD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31FA25DE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648B763C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5543CBAA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 xml:space="preserve">3.2 Do you agree with classifying a transaction as a Backdoor Listing when it involves the acquisition of assets that results in </w:t>
      </w:r>
      <w:r w:rsidRPr="00EA15BB">
        <w:rPr>
          <w:rFonts w:eastAsia="Malgun Gothic"/>
          <w:u w:val="single"/>
        </w:rPr>
        <w:t>a change in control</w:t>
      </w:r>
      <w:r w:rsidRPr="00EA15BB">
        <w:rPr>
          <w:rFonts w:eastAsia="Malgun Gothic"/>
        </w:rPr>
        <w:t xml:space="preserve"> from the controlling persons of the listed company </w:t>
      </w:r>
      <w:r w:rsidRPr="00EA15BB">
        <w:rPr>
          <w:rFonts w:eastAsia="Malgun Gothic"/>
          <w:u w:val="single"/>
        </w:rPr>
        <w:t>to another party</w:t>
      </w:r>
      <w:r w:rsidRPr="00EA15BB">
        <w:rPr>
          <w:rFonts w:eastAsia="Malgun Gothic"/>
        </w:rPr>
        <w:t xml:space="preserve">, </w:t>
      </w:r>
      <w:r w:rsidRPr="00EA15BB">
        <w:rPr>
          <w:rFonts w:eastAsia="Malgun Gothic"/>
          <w:u w:val="single"/>
        </w:rPr>
        <w:t>or when there is a change of more than half of the board of directors/management</w:t>
      </w:r>
      <w:r w:rsidRPr="00EA15BB">
        <w:rPr>
          <w:rFonts w:eastAsia="Malgun Gothic"/>
        </w:rPr>
        <w:t>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09643B67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4E919DE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D921CB6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5E0BF82B" w14:textId="77777777" w:rsidTr="00EA15BB">
        <w:trPr>
          <w:trHeight w:val="1258"/>
          <w:jc w:val="center"/>
        </w:trPr>
        <w:tc>
          <w:tcPr>
            <w:tcW w:w="2376" w:type="dxa"/>
          </w:tcPr>
          <w:p w14:paraId="65478441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03A9A768" w14:textId="77777777" w:rsidR="00EA15BB" w:rsidRPr="00EA15BB" w:rsidRDefault="00EA15BB" w:rsidP="00EA15BB">
            <w:r w:rsidRPr="00EA15BB">
              <w:t>(Please explain your reasoning)</w:t>
            </w:r>
          </w:p>
          <w:p w14:paraId="1E87E294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24B85E64" w14:textId="77777777" w:rsidTr="00EA15BB">
        <w:trPr>
          <w:trHeight w:val="1429"/>
          <w:jc w:val="center"/>
        </w:trPr>
        <w:tc>
          <w:tcPr>
            <w:tcW w:w="2376" w:type="dxa"/>
          </w:tcPr>
          <w:p w14:paraId="0C3C7080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05B4A10A" w14:textId="77777777" w:rsidR="00EA15BB" w:rsidRPr="00EA15BB" w:rsidRDefault="00EA15BB" w:rsidP="00EA15BB"/>
        </w:tc>
        <w:tc>
          <w:tcPr>
            <w:tcW w:w="6271" w:type="dxa"/>
          </w:tcPr>
          <w:p w14:paraId="7D92BB7F" w14:textId="77777777" w:rsidR="00EA15BB" w:rsidRPr="00EA15BB" w:rsidRDefault="00EA15BB" w:rsidP="00EA15BB">
            <w:r w:rsidRPr="00EA15BB">
              <w:t>(Please explain your reasoning)</w:t>
            </w:r>
          </w:p>
          <w:p w14:paraId="012FE031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2B8F254C" w14:textId="77777777" w:rsidTr="00EA15BB">
        <w:trPr>
          <w:trHeight w:val="1609"/>
          <w:jc w:val="center"/>
        </w:trPr>
        <w:tc>
          <w:tcPr>
            <w:tcW w:w="8647" w:type="dxa"/>
            <w:gridSpan w:val="2"/>
          </w:tcPr>
          <w:p w14:paraId="5009EAB6" w14:textId="77777777" w:rsidR="00EA15BB" w:rsidRPr="00EA15BB" w:rsidRDefault="00EA15BB" w:rsidP="00EA15BB">
            <w:r w:rsidRPr="00EA15BB">
              <w:t xml:space="preserve">Other suggestions: </w:t>
            </w:r>
          </w:p>
          <w:p w14:paraId="277E18EE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2D96AF59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  <w:cs/>
        </w:rPr>
        <w:t xml:space="preserve"> </w:t>
      </w:r>
    </w:p>
    <w:p w14:paraId="08D1C1E7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  <w:cs/>
        </w:rPr>
        <w:t xml:space="preserve">3.3 </w:t>
      </w:r>
      <w:r w:rsidRPr="00EA15BB">
        <w:rPr>
          <w:rFonts w:eastAsia="Malgun Gothic"/>
        </w:rPr>
        <w:t xml:space="preserve">Do you agree with classifying a transaction as a Backdoor Listing when it involves the acquisition of assets that results in existing shareholders holding less than 50% of the company's paid-up capital after the transaction, </w:t>
      </w:r>
      <w:r w:rsidRPr="00EA15BB">
        <w:rPr>
          <w:rFonts w:eastAsia="Malgun Gothic"/>
          <w:u w:val="single"/>
        </w:rPr>
        <w:t>regardless of the transaction structure</w:t>
      </w:r>
      <w:r w:rsidRPr="00EA15BB">
        <w:rPr>
          <w:rFonts w:eastAsia="Malgun Gothic"/>
        </w:rPr>
        <w:t>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17F31804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20862DA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46C53E48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74554852" w14:textId="77777777" w:rsidTr="00EA15BB">
        <w:trPr>
          <w:trHeight w:val="1123"/>
          <w:jc w:val="center"/>
        </w:trPr>
        <w:tc>
          <w:tcPr>
            <w:tcW w:w="2376" w:type="dxa"/>
          </w:tcPr>
          <w:p w14:paraId="63ED0C58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17FF8355" w14:textId="77777777" w:rsidR="00EA15BB" w:rsidRPr="00EA15BB" w:rsidRDefault="00EA15BB" w:rsidP="00EA15BB">
            <w:r w:rsidRPr="00EA15BB">
              <w:t>(Please explain your reasoning)</w:t>
            </w:r>
          </w:p>
          <w:p w14:paraId="405E14EB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3D872C7F" w14:textId="77777777" w:rsidTr="00EA15BB">
        <w:trPr>
          <w:trHeight w:val="1348"/>
          <w:jc w:val="center"/>
        </w:trPr>
        <w:tc>
          <w:tcPr>
            <w:tcW w:w="2376" w:type="dxa"/>
          </w:tcPr>
          <w:p w14:paraId="06C46089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36B82D3B" w14:textId="77777777" w:rsidR="00EA15BB" w:rsidRPr="00EA15BB" w:rsidRDefault="00EA15BB" w:rsidP="00EA15BB"/>
        </w:tc>
        <w:tc>
          <w:tcPr>
            <w:tcW w:w="6271" w:type="dxa"/>
          </w:tcPr>
          <w:p w14:paraId="52ABF285" w14:textId="77777777" w:rsidR="00EA15BB" w:rsidRPr="00EA15BB" w:rsidRDefault="00EA15BB" w:rsidP="00EA15BB">
            <w:r w:rsidRPr="00EA15BB">
              <w:t>(Please explain your reasoning)</w:t>
            </w:r>
          </w:p>
          <w:p w14:paraId="2983BA19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59200677" w14:textId="77777777" w:rsidTr="00EA15BB">
        <w:trPr>
          <w:trHeight w:val="1789"/>
          <w:jc w:val="center"/>
        </w:trPr>
        <w:tc>
          <w:tcPr>
            <w:tcW w:w="8647" w:type="dxa"/>
            <w:gridSpan w:val="2"/>
          </w:tcPr>
          <w:p w14:paraId="05C2CEB2" w14:textId="77777777" w:rsidR="00EA15BB" w:rsidRPr="00EA15BB" w:rsidRDefault="00EA15BB" w:rsidP="00EA15BB">
            <w:r w:rsidRPr="00EA15BB">
              <w:t xml:space="preserve">Other suggestions: </w:t>
            </w:r>
          </w:p>
          <w:p w14:paraId="1D802BE1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3CA4F81E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  <w:cs/>
        </w:rPr>
      </w:pPr>
    </w:p>
    <w:p w14:paraId="1FCF7E87" w14:textId="77777777" w:rsidR="00EA15BB" w:rsidRPr="00EA15BB" w:rsidRDefault="00EA15BB" w:rsidP="00EA15BB">
      <w:pPr>
        <w:rPr>
          <w:rFonts w:eastAsia="Malgun Gothic"/>
          <w:cs/>
        </w:rPr>
      </w:pPr>
      <w:r w:rsidRPr="00EA15BB">
        <w:rPr>
          <w:rFonts w:eastAsia="Malgun Gothic"/>
          <w:cs/>
        </w:rPr>
        <w:br w:type="page"/>
      </w:r>
    </w:p>
    <w:p w14:paraId="7635BC88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lastRenderedPageBreak/>
        <w:t>Question</w:t>
      </w:r>
      <w:r w:rsidRPr="00EA15BB">
        <w:rPr>
          <w:rFonts w:eastAsia="Malgun Gothic" w:hint="cs"/>
          <w:b/>
          <w:bCs/>
        </w:rPr>
        <w:t xml:space="preserve"> </w:t>
      </w:r>
      <w:r w:rsidRPr="00EA15BB">
        <w:rPr>
          <w:rFonts w:eastAsia="Malgun Gothic"/>
          <w:b/>
          <w:bCs/>
        </w:rPr>
        <w:t>4: Revision of Cash Company Criteria</w:t>
      </w:r>
    </w:p>
    <w:p w14:paraId="068EB627" w14:textId="77777777" w:rsidR="00EA15BB" w:rsidRPr="00EA15BB" w:rsidRDefault="00EA15BB" w:rsidP="00EA15BB">
      <w:pPr>
        <w:shd w:val="clear" w:color="auto" w:fill="FFFFFF"/>
        <w:snapToGrid w:val="0"/>
        <w:spacing w:before="120"/>
        <w:ind w:right="86"/>
        <w:jc w:val="center"/>
        <w:textAlignment w:val="baseline"/>
        <w:rPr>
          <w:rFonts w:eastAsia="Malgun Gothic"/>
        </w:rPr>
      </w:pPr>
      <w:r w:rsidRPr="00EA15BB">
        <w:rPr>
          <w:rFonts w:eastAsia="Malgun Gothic"/>
          <w:b/>
          <w:bCs/>
        </w:rPr>
        <w:t>Overview of the Cash Company Criteria (</w:t>
      </w:r>
      <w:r w:rsidRPr="00EA15BB">
        <w:rPr>
          <w:rFonts w:eastAsia="Times New Roman"/>
          <w:b/>
          <w:bCs/>
          <w:color w:val="0000CC"/>
        </w:rPr>
        <w:t>Proposed Revisions Indicated in Blue</w:t>
      </w:r>
      <w:r w:rsidRPr="00EA15BB">
        <w:rPr>
          <w:rFonts w:eastAsia="Malgun Gothic"/>
          <w:b/>
          <w:bCs/>
        </w:rPr>
        <w:t>)</w:t>
      </w:r>
    </w:p>
    <w:p w14:paraId="2BEEBCAD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ascii="Tahoma" w:eastAsia="Times New Roman" w:hAnsi="Tahoma" w:cs="Tahoma"/>
          <w:noProof/>
          <w:sz w:val="24"/>
        </w:rPr>
        <w:drawing>
          <wp:inline distT="0" distB="0" distL="0" distR="0" wp14:anchorId="559CD381" wp14:editId="7C6ADE64">
            <wp:extent cx="5941060" cy="2318908"/>
            <wp:effectExtent l="0" t="0" r="2540" b="5715"/>
            <wp:docPr id="1249523414" name="Picture 14" descr="A screen 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23414" name="Picture 14" descr="A screen 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318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90FC5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4</w:t>
      </w:r>
      <w:r w:rsidRPr="00EA15BB">
        <w:rPr>
          <w:rFonts w:eastAsia="Malgun Gothic"/>
          <w:cs/>
        </w:rPr>
        <w:t xml:space="preserve">.1 </w:t>
      </w:r>
      <w:r w:rsidRPr="00EA15BB">
        <w:rPr>
          <w:rFonts w:eastAsia="Malgun Gothic"/>
        </w:rPr>
        <w:t xml:space="preserve">Do you agree with classifying a company as a 'Cash Company' </w:t>
      </w:r>
      <w:r w:rsidRPr="00EA15BB">
        <w:rPr>
          <w:rFonts w:eastAsia="Malgun Gothic"/>
          <w:u w:val="single"/>
        </w:rPr>
        <w:t>based on its overall asset structure</w:t>
      </w:r>
      <w:r w:rsidRPr="00EA15BB">
        <w:rPr>
          <w:rFonts w:eastAsia="Malgun Gothic"/>
        </w:rPr>
        <w:t>, without limiting the definition to cases where assets have been disposed?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1723EC99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3C6EA0A7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7B160753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0C8905B5" w14:textId="77777777" w:rsidTr="00EA15BB">
        <w:trPr>
          <w:trHeight w:val="1447"/>
          <w:jc w:val="center"/>
        </w:trPr>
        <w:tc>
          <w:tcPr>
            <w:tcW w:w="2376" w:type="dxa"/>
          </w:tcPr>
          <w:p w14:paraId="58385D5B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0562599C" w14:textId="77777777" w:rsidR="00EA15BB" w:rsidRPr="00EA15BB" w:rsidRDefault="00EA15BB" w:rsidP="00EA15BB">
            <w:r w:rsidRPr="00EA15BB">
              <w:t>(Please explain your reasoning)</w:t>
            </w:r>
          </w:p>
          <w:p w14:paraId="29145837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61395DD4" w14:textId="77777777" w:rsidTr="00EA15BB">
        <w:trPr>
          <w:trHeight w:val="1609"/>
          <w:jc w:val="center"/>
        </w:trPr>
        <w:tc>
          <w:tcPr>
            <w:tcW w:w="2376" w:type="dxa"/>
          </w:tcPr>
          <w:p w14:paraId="7FACAE6B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1EAC2B85" w14:textId="77777777" w:rsidR="00EA15BB" w:rsidRPr="00EA15BB" w:rsidRDefault="00EA15BB" w:rsidP="00EA15BB"/>
        </w:tc>
        <w:tc>
          <w:tcPr>
            <w:tcW w:w="6271" w:type="dxa"/>
          </w:tcPr>
          <w:p w14:paraId="4E0E4F7A" w14:textId="77777777" w:rsidR="00EA15BB" w:rsidRPr="00EA15BB" w:rsidRDefault="00EA15BB" w:rsidP="00EA15BB">
            <w:r w:rsidRPr="00EA15BB">
              <w:t>(Please explain your reasoning)</w:t>
            </w:r>
          </w:p>
          <w:p w14:paraId="160BE413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B683EAE" w14:textId="77777777" w:rsidTr="00EA15BB">
        <w:trPr>
          <w:trHeight w:val="2419"/>
          <w:jc w:val="center"/>
        </w:trPr>
        <w:tc>
          <w:tcPr>
            <w:tcW w:w="8647" w:type="dxa"/>
            <w:gridSpan w:val="2"/>
          </w:tcPr>
          <w:p w14:paraId="70D17F4E" w14:textId="77777777" w:rsidR="00EA15BB" w:rsidRPr="00EA15BB" w:rsidRDefault="00EA15BB" w:rsidP="00EA15BB">
            <w:r w:rsidRPr="00EA15BB">
              <w:t xml:space="preserve">Other suggestions: </w:t>
            </w:r>
          </w:p>
          <w:p w14:paraId="300DC5C1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09394A38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75E0F1E0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51AC0CAB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506EE458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  <w:cs/>
        </w:rPr>
      </w:pPr>
    </w:p>
    <w:p w14:paraId="493AF735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 xml:space="preserve">4.2 Do you agree with the requirement for a Cash Company </w:t>
      </w:r>
      <w:r w:rsidRPr="00EA15BB">
        <w:rPr>
          <w:rFonts w:eastAsia="Malgun Gothic"/>
          <w:u w:val="single"/>
        </w:rPr>
        <w:t>to comply with the Silent Period and Opportunity Day requirements, similar to Backdoor Listing companies</w:t>
      </w:r>
      <w:r w:rsidRPr="00EA15BB">
        <w:rPr>
          <w:rFonts w:eastAsia="Malgun Gothic"/>
        </w:rPr>
        <w:t>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25487D62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62A9407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5A7DC056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7A793D51" w14:textId="77777777" w:rsidTr="00EA15BB">
        <w:trPr>
          <w:jc w:val="center"/>
        </w:trPr>
        <w:tc>
          <w:tcPr>
            <w:tcW w:w="2376" w:type="dxa"/>
          </w:tcPr>
          <w:p w14:paraId="68FEDFC8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14DBEAED" w14:textId="77777777" w:rsidR="00EA15BB" w:rsidRPr="00EA15BB" w:rsidRDefault="00EA15BB" w:rsidP="00EA15BB">
            <w:r w:rsidRPr="00EA15BB">
              <w:t>(Please explain your reasoning)</w:t>
            </w:r>
          </w:p>
          <w:p w14:paraId="53D055D2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5F76B23C" w14:textId="77777777" w:rsidTr="00EA15BB">
        <w:trPr>
          <w:jc w:val="center"/>
        </w:trPr>
        <w:tc>
          <w:tcPr>
            <w:tcW w:w="2376" w:type="dxa"/>
          </w:tcPr>
          <w:p w14:paraId="18323913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59C45010" w14:textId="77777777" w:rsidR="00EA15BB" w:rsidRPr="00EA15BB" w:rsidRDefault="00EA15BB" w:rsidP="00EA15BB"/>
        </w:tc>
        <w:tc>
          <w:tcPr>
            <w:tcW w:w="6271" w:type="dxa"/>
          </w:tcPr>
          <w:p w14:paraId="5B405E90" w14:textId="77777777" w:rsidR="00EA15BB" w:rsidRPr="00EA15BB" w:rsidRDefault="00EA15BB" w:rsidP="00EA15BB">
            <w:r w:rsidRPr="00EA15BB">
              <w:t>(Please explain your reasoning)</w:t>
            </w:r>
          </w:p>
          <w:p w14:paraId="4F78919A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646458FD" w14:textId="77777777" w:rsidTr="00EA15BB">
        <w:trPr>
          <w:trHeight w:val="1133"/>
          <w:jc w:val="center"/>
        </w:trPr>
        <w:tc>
          <w:tcPr>
            <w:tcW w:w="8647" w:type="dxa"/>
            <w:gridSpan w:val="2"/>
          </w:tcPr>
          <w:p w14:paraId="67A09A36" w14:textId="77777777" w:rsidR="00EA15BB" w:rsidRPr="00EA15BB" w:rsidRDefault="00EA15BB" w:rsidP="00EA15BB">
            <w:r w:rsidRPr="00EA15BB">
              <w:t xml:space="preserve">Other suggestions: </w:t>
            </w:r>
          </w:p>
          <w:p w14:paraId="1748F178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78B6DE4A" w14:textId="77777777" w:rsidR="00EA15BB" w:rsidRPr="00EA15BB" w:rsidRDefault="00EA15BB" w:rsidP="00EA15BB">
      <w:pPr>
        <w:shd w:val="clear" w:color="auto" w:fill="FFFFFF"/>
        <w:snapToGrid w:val="0"/>
        <w:spacing w:before="24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t>Question</w:t>
      </w:r>
      <w:r w:rsidRPr="00EA15BB">
        <w:rPr>
          <w:rFonts w:eastAsia="Malgun Gothic" w:hint="cs"/>
          <w:b/>
          <w:bCs/>
        </w:rPr>
        <w:t xml:space="preserve"> </w:t>
      </w:r>
      <w:r w:rsidRPr="00EA15BB">
        <w:rPr>
          <w:rFonts w:eastAsia="Malgun Gothic"/>
          <w:b/>
          <w:bCs/>
        </w:rPr>
        <w:t>5:</w:t>
      </w:r>
      <w:r w:rsidRPr="00EA15BB">
        <w:rPr>
          <w:rFonts w:ascii="Tahoma" w:eastAsia="Times New Roman" w:hAnsi="Tahoma" w:cs="Tahoma"/>
          <w:sz w:val="24"/>
          <w:szCs w:val="24"/>
        </w:rPr>
        <w:t xml:space="preserve"> </w:t>
      </w:r>
      <w:r w:rsidRPr="00EA15BB">
        <w:rPr>
          <w:rFonts w:eastAsia="Malgun Gothic"/>
          <w:b/>
          <w:bCs/>
        </w:rPr>
        <w:t xml:space="preserve">Investor Warning Sign (C Signs) Requirements </w:t>
      </w:r>
    </w:p>
    <w:p w14:paraId="1A7AAACE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 xml:space="preserve">Do you agree with reviewing the criteria for warning sign designation (i.e. CC, CF) by changing the timeframe calculation from the date of information disclosure to </w:t>
      </w:r>
      <w:r w:rsidRPr="00EA15BB">
        <w:rPr>
          <w:rFonts w:eastAsia="Malgun Gothic"/>
          <w:u w:val="single"/>
        </w:rPr>
        <w:t>the date the listed company is obligated to disclose such information</w:t>
      </w:r>
      <w:r w:rsidRPr="00EA15BB">
        <w:rPr>
          <w:rFonts w:eastAsia="Malgun Gothic"/>
        </w:rPr>
        <w:t xml:space="preserve">, thereby preventing listed companies from benefiting from delayed disclosure? </w:t>
      </w:r>
    </w:p>
    <w:p w14:paraId="6EF7664B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</w:rPr>
      </w:pPr>
      <w:r w:rsidRPr="00EA15BB">
        <w:rPr>
          <w:rFonts w:ascii="Tahoma" w:eastAsia="Times New Roman" w:hAnsi="Tahoma" w:cs="Tahoma"/>
          <w:noProof/>
          <w:sz w:val="24"/>
        </w:rPr>
        <w:drawing>
          <wp:inline distT="0" distB="0" distL="0" distR="0" wp14:anchorId="2AE29D10" wp14:editId="4413BFAD">
            <wp:extent cx="5941060" cy="1628520"/>
            <wp:effectExtent l="0" t="0" r="2540" b="0"/>
            <wp:docPr id="1487879146" name="Picture 15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79146" name="Picture 15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2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C33B3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</w:rPr>
      </w:pP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0083105B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8F81598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0615192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358306D0" w14:textId="77777777" w:rsidTr="00EA15BB">
        <w:trPr>
          <w:jc w:val="center"/>
        </w:trPr>
        <w:tc>
          <w:tcPr>
            <w:tcW w:w="2376" w:type="dxa"/>
          </w:tcPr>
          <w:p w14:paraId="3F171D05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74C117DD" w14:textId="77777777" w:rsidR="00EA15BB" w:rsidRPr="00EA15BB" w:rsidRDefault="00EA15BB" w:rsidP="00EA15BB">
            <w:r w:rsidRPr="00EA15BB">
              <w:t>(Please explain your reasoning)</w:t>
            </w:r>
          </w:p>
          <w:p w14:paraId="2EBD76CB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50BC1CB0" w14:textId="77777777" w:rsidTr="00EA15BB">
        <w:trPr>
          <w:jc w:val="center"/>
        </w:trPr>
        <w:tc>
          <w:tcPr>
            <w:tcW w:w="2376" w:type="dxa"/>
          </w:tcPr>
          <w:p w14:paraId="7EA934D2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3C5C65A2" w14:textId="77777777" w:rsidR="00EA15BB" w:rsidRPr="00EA15BB" w:rsidRDefault="00EA15BB" w:rsidP="00EA15BB"/>
        </w:tc>
        <w:tc>
          <w:tcPr>
            <w:tcW w:w="6271" w:type="dxa"/>
          </w:tcPr>
          <w:p w14:paraId="3FB3CFBE" w14:textId="77777777" w:rsidR="00EA15BB" w:rsidRPr="00EA15BB" w:rsidRDefault="00EA15BB" w:rsidP="00EA15BB">
            <w:r w:rsidRPr="00EA15BB">
              <w:t>(Please explain your reasoning)</w:t>
            </w:r>
          </w:p>
          <w:p w14:paraId="70358855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004B030" w14:textId="77777777" w:rsidTr="00EA15BB">
        <w:trPr>
          <w:trHeight w:val="1133"/>
          <w:jc w:val="center"/>
        </w:trPr>
        <w:tc>
          <w:tcPr>
            <w:tcW w:w="8647" w:type="dxa"/>
            <w:gridSpan w:val="2"/>
          </w:tcPr>
          <w:p w14:paraId="5BA576DC" w14:textId="77777777" w:rsidR="00EA15BB" w:rsidRPr="00EA15BB" w:rsidRDefault="00EA15BB" w:rsidP="00EA15BB">
            <w:r w:rsidRPr="00EA15BB">
              <w:t xml:space="preserve">Other suggestions: </w:t>
            </w:r>
          </w:p>
          <w:p w14:paraId="75CDB77A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7EE81ECA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</w:rPr>
      </w:pPr>
    </w:p>
    <w:p w14:paraId="29F2273E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lastRenderedPageBreak/>
        <w:t>Question</w:t>
      </w:r>
      <w:r w:rsidRPr="00EA15BB">
        <w:rPr>
          <w:rFonts w:eastAsia="Malgun Gothic" w:hint="cs"/>
          <w:b/>
          <w:bCs/>
        </w:rPr>
        <w:t xml:space="preserve"> </w:t>
      </w:r>
      <w:r w:rsidRPr="00EA15BB">
        <w:rPr>
          <w:rFonts w:eastAsia="Malgun Gothic"/>
          <w:b/>
          <w:bCs/>
        </w:rPr>
        <w:t xml:space="preserve">6: Review of Disclosure Requirements and Related Matters </w:t>
      </w:r>
    </w:p>
    <w:p w14:paraId="49D832BD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6.1 Do you agree with abolishing duplicative requirements that overlap with the SEC regulations to prevent confusion for practitioners and reduce compliance redundancy e.g., provisions concerning MT and RPT?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1F2EC2F6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61F65DD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7D9383A8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41E0FAD1" w14:textId="77777777" w:rsidTr="00EA15BB">
        <w:trPr>
          <w:trHeight w:val="1231"/>
          <w:jc w:val="center"/>
        </w:trPr>
        <w:tc>
          <w:tcPr>
            <w:tcW w:w="2376" w:type="dxa"/>
          </w:tcPr>
          <w:p w14:paraId="5FFA25D1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1A89A396" w14:textId="77777777" w:rsidR="00EA15BB" w:rsidRPr="00EA15BB" w:rsidRDefault="00EA15BB" w:rsidP="00EA15BB">
            <w:r w:rsidRPr="00EA15BB">
              <w:t>(Please explain your reasoning)</w:t>
            </w:r>
          </w:p>
          <w:p w14:paraId="2D55711C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4FB9D144" w14:textId="77777777" w:rsidTr="00EA15BB">
        <w:trPr>
          <w:trHeight w:val="1438"/>
          <w:jc w:val="center"/>
        </w:trPr>
        <w:tc>
          <w:tcPr>
            <w:tcW w:w="2376" w:type="dxa"/>
          </w:tcPr>
          <w:p w14:paraId="6F02EDE1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5E6CB54A" w14:textId="77777777" w:rsidR="00EA15BB" w:rsidRPr="00EA15BB" w:rsidRDefault="00EA15BB" w:rsidP="00EA15BB"/>
        </w:tc>
        <w:tc>
          <w:tcPr>
            <w:tcW w:w="6271" w:type="dxa"/>
          </w:tcPr>
          <w:p w14:paraId="0B73CF19" w14:textId="77777777" w:rsidR="00EA15BB" w:rsidRPr="00EA15BB" w:rsidRDefault="00EA15BB" w:rsidP="00EA15BB">
            <w:r w:rsidRPr="00EA15BB">
              <w:t>(Please explain your reasoning)</w:t>
            </w:r>
          </w:p>
          <w:p w14:paraId="74DCA52E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D96367C" w14:textId="77777777" w:rsidTr="00EA15BB">
        <w:trPr>
          <w:trHeight w:val="1789"/>
          <w:jc w:val="center"/>
        </w:trPr>
        <w:tc>
          <w:tcPr>
            <w:tcW w:w="8647" w:type="dxa"/>
            <w:gridSpan w:val="2"/>
          </w:tcPr>
          <w:p w14:paraId="269E0BC6" w14:textId="77777777" w:rsidR="00EA15BB" w:rsidRPr="00EA15BB" w:rsidRDefault="00EA15BB" w:rsidP="00EA15BB">
            <w:r w:rsidRPr="00EA15BB">
              <w:t xml:space="preserve">Other suggestions: </w:t>
            </w:r>
          </w:p>
          <w:p w14:paraId="18367E41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06B54011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726779F4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6.2 Do you agree with removing disclosure obligations regarding the launch of new products, as this constitutes the company's ordinary course of business?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7DF02231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6BE852C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5607A274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75BDD709" w14:textId="77777777" w:rsidTr="00EA15BB">
        <w:trPr>
          <w:trHeight w:val="1321"/>
          <w:jc w:val="center"/>
        </w:trPr>
        <w:tc>
          <w:tcPr>
            <w:tcW w:w="2376" w:type="dxa"/>
          </w:tcPr>
          <w:p w14:paraId="005C9AC8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7BAA8A33" w14:textId="77777777" w:rsidR="00EA15BB" w:rsidRPr="00EA15BB" w:rsidRDefault="00EA15BB" w:rsidP="00EA15BB">
            <w:r w:rsidRPr="00EA15BB">
              <w:t>(Please explain your reasoning)</w:t>
            </w:r>
          </w:p>
          <w:p w14:paraId="5884B26D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DBCC517" w14:textId="77777777" w:rsidTr="00EA15BB">
        <w:trPr>
          <w:trHeight w:val="1528"/>
          <w:jc w:val="center"/>
        </w:trPr>
        <w:tc>
          <w:tcPr>
            <w:tcW w:w="2376" w:type="dxa"/>
          </w:tcPr>
          <w:p w14:paraId="0EEF7380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132EB977" w14:textId="77777777" w:rsidR="00EA15BB" w:rsidRPr="00EA15BB" w:rsidRDefault="00EA15BB" w:rsidP="00EA15BB"/>
        </w:tc>
        <w:tc>
          <w:tcPr>
            <w:tcW w:w="6271" w:type="dxa"/>
          </w:tcPr>
          <w:p w14:paraId="028DB40B" w14:textId="77777777" w:rsidR="00EA15BB" w:rsidRPr="00EA15BB" w:rsidRDefault="00EA15BB" w:rsidP="00EA15BB">
            <w:r w:rsidRPr="00EA15BB">
              <w:t>(Please explain your reasoning)</w:t>
            </w:r>
          </w:p>
          <w:p w14:paraId="1140CB1D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ADA86D0" w14:textId="77777777" w:rsidTr="00EA15BB">
        <w:trPr>
          <w:trHeight w:val="1879"/>
          <w:jc w:val="center"/>
        </w:trPr>
        <w:tc>
          <w:tcPr>
            <w:tcW w:w="8647" w:type="dxa"/>
            <w:gridSpan w:val="2"/>
          </w:tcPr>
          <w:p w14:paraId="4DE204FB" w14:textId="77777777" w:rsidR="00EA15BB" w:rsidRPr="00EA15BB" w:rsidRDefault="00EA15BB" w:rsidP="00EA15BB">
            <w:r w:rsidRPr="00EA15BB">
              <w:t xml:space="preserve">Other suggestions: </w:t>
            </w:r>
          </w:p>
          <w:p w14:paraId="72E5F450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2C72CD2E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4B361BAD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>6.3 Do you agree with mandating immediate disclosure of amendments to the memorandum of association or articles of association of listed companies, with a submission of a copy to the SET within 14 days of such amendments, in alignment with the Public Limited Companies Act?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43F4EE00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5D09E00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5F4A6441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0FE0CEF3" w14:textId="77777777" w:rsidTr="00EA15BB">
        <w:trPr>
          <w:trHeight w:val="1258"/>
          <w:jc w:val="center"/>
        </w:trPr>
        <w:tc>
          <w:tcPr>
            <w:tcW w:w="2376" w:type="dxa"/>
          </w:tcPr>
          <w:p w14:paraId="265B4E6B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17DC1F3D" w14:textId="77777777" w:rsidR="00EA15BB" w:rsidRPr="00EA15BB" w:rsidRDefault="00EA15BB" w:rsidP="00EA15BB">
            <w:r w:rsidRPr="00EA15BB">
              <w:t>(Please explain your reasoning)</w:t>
            </w:r>
          </w:p>
          <w:p w14:paraId="72A71BC2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B502BDA" w14:textId="77777777" w:rsidTr="00EA15BB">
        <w:trPr>
          <w:trHeight w:val="1339"/>
          <w:jc w:val="center"/>
        </w:trPr>
        <w:tc>
          <w:tcPr>
            <w:tcW w:w="2376" w:type="dxa"/>
          </w:tcPr>
          <w:p w14:paraId="3E70024A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6A14ABB2" w14:textId="77777777" w:rsidR="00EA15BB" w:rsidRPr="00EA15BB" w:rsidRDefault="00EA15BB" w:rsidP="00EA15BB"/>
        </w:tc>
        <w:tc>
          <w:tcPr>
            <w:tcW w:w="6271" w:type="dxa"/>
          </w:tcPr>
          <w:p w14:paraId="360BAB33" w14:textId="77777777" w:rsidR="00EA15BB" w:rsidRPr="00EA15BB" w:rsidRDefault="00EA15BB" w:rsidP="00EA15BB">
            <w:r w:rsidRPr="00EA15BB">
              <w:t>(Please explain your reasoning)</w:t>
            </w:r>
          </w:p>
          <w:p w14:paraId="78B38DB4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EFF3037" w14:textId="77777777" w:rsidTr="00EA15BB">
        <w:trPr>
          <w:trHeight w:val="1789"/>
          <w:jc w:val="center"/>
        </w:trPr>
        <w:tc>
          <w:tcPr>
            <w:tcW w:w="8647" w:type="dxa"/>
            <w:gridSpan w:val="2"/>
          </w:tcPr>
          <w:p w14:paraId="6DAF0E9A" w14:textId="77777777" w:rsidR="00EA15BB" w:rsidRPr="00EA15BB" w:rsidRDefault="00EA15BB" w:rsidP="00EA15BB">
            <w:r w:rsidRPr="00EA15BB">
              <w:t xml:space="preserve">Other suggestions: </w:t>
            </w:r>
          </w:p>
          <w:p w14:paraId="6FD023ED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3EE95DDC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19C29D63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6.4 Do you agree with mandating immediate disclosure of bankruptcy filings against listed companies?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060A9082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A1C97FC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5FF8128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644DB0B5" w14:textId="77777777" w:rsidTr="00EA15BB">
        <w:trPr>
          <w:trHeight w:val="1339"/>
          <w:jc w:val="center"/>
        </w:trPr>
        <w:tc>
          <w:tcPr>
            <w:tcW w:w="2376" w:type="dxa"/>
          </w:tcPr>
          <w:p w14:paraId="5E568ECF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39B19542" w14:textId="77777777" w:rsidR="00EA15BB" w:rsidRPr="00EA15BB" w:rsidRDefault="00EA15BB" w:rsidP="00EA15BB">
            <w:r w:rsidRPr="00EA15BB">
              <w:t>(Please explain your reasoning)</w:t>
            </w:r>
          </w:p>
          <w:p w14:paraId="6CB7DAB1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2922988" w14:textId="77777777" w:rsidTr="00EA15BB">
        <w:trPr>
          <w:trHeight w:val="1429"/>
          <w:jc w:val="center"/>
        </w:trPr>
        <w:tc>
          <w:tcPr>
            <w:tcW w:w="2376" w:type="dxa"/>
          </w:tcPr>
          <w:p w14:paraId="13810C10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58B88266" w14:textId="77777777" w:rsidR="00EA15BB" w:rsidRPr="00EA15BB" w:rsidRDefault="00EA15BB" w:rsidP="00EA15BB"/>
        </w:tc>
        <w:tc>
          <w:tcPr>
            <w:tcW w:w="6271" w:type="dxa"/>
          </w:tcPr>
          <w:p w14:paraId="396F72EC" w14:textId="77777777" w:rsidR="00EA15BB" w:rsidRPr="00EA15BB" w:rsidRDefault="00EA15BB" w:rsidP="00EA15BB">
            <w:r w:rsidRPr="00EA15BB">
              <w:t>(Please explain your reasoning)</w:t>
            </w:r>
          </w:p>
          <w:p w14:paraId="0398A8D8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3FC3F781" w14:textId="77777777" w:rsidTr="00EA15BB">
        <w:trPr>
          <w:trHeight w:val="1969"/>
          <w:jc w:val="center"/>
        </w:trPr>
        <w:tc>
          <w:tcPr>
            <w:tcW w:w="8647" w:type="dxa"/>
            <w:gridSpan w:val="2"/>
          </w:tcPr>
          <w:p w14:paraId="0C500FB1" w14:textId="77777777" w:rsidR="00EA15BB" w:rsidRPr="00EA15BB" w:rsidRDefault="00EA15BB" w:rsidP="00EA15BB">
            <w:r w:rsidRPr="00EA15BB">
              <w:t xml:space="preserve">Other suggestions: </w:t>
            </w:r>
          </w:p>
          <w:p w14:paraId="76769F23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5BFAD805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413E0E95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04C25102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>6.5 Do you agree with aligning the reporting deadline for utilization of capital increase proceeds with the reporting schedule for shareholder-approved transaction updates as specified in the MT and RPT provisions, to reduce compliance burdens on practitioners?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1658D2BA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DAA7C44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006DFB92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08B7DFA8" w14:textId="77777777" w:rsidTr="00EA15BB">
        <w:trPr>
          <w:trHeight w:val="1168"/>
          <w:jc w:val="center"/>
        </w:trPr>
        <w:tc>
          <w:tcPr>
            <w:tcW w:w="2376" w:type="dxa"/>
          </w:tcPr>
          <w:p w14:paraId="6898F65F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4F3086D2" w14:textId="77777777" w:rsidR="00EA15BB" w:rsidRPr="00EA15BB" w:rsidRDefault="00EA15BB" w:rsidP="00EA15BB">
            <w:r w:rsidRPr="00EA15BB">
              <w:t>(Please explain your reasoning)</w:t>
            </w:r>
          </w:p>
          <w:p w14:paraId="13B10274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2CDF2042" w14:textId="77777777" w:rsidTr="00EA15BB">
        <w:trPr>
          <w:trHeight w:val="1249"/>
          <w:jc w:val="center"/>
        </w:trPr>
        <w:tc>
          <w:tcPr>
            <w:tcW w:w="2376" w:type="dxa"/>
          </w:tcPr>
          <w:p w14:paraId="110BD666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0E2CBA89" w14:textId="77777777" w:rsidR="00EA15BB" w:rsidRPr="00EA15BB" w:rsidRDefault="00EA15BB" w:rsidP="00EA15BB"/>
        </w:tc>
        <w:tc>
          <w:tcPr>
            <w:tcW w:w="6271" w:type="dxa"/>
          </w:tcPr>
          <w:p w14:paraId="64FCC513" w14:textId="77777777" w:rsidR="00EA15BB" w:rsidRPr="00EA15BB" w:rsidRDefault="00EA15BB" w:rsidP="00EA15BB">
            <w:r w:rsidRPr="00EA15BB">
              <w:t>(Please explain your reasoning)</w:t>
            </w:r>
          </w:p>
          <w:p w14:paraId="502169A8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2E67BF87" w14:textId="77777777" w:rsidTr="00EA15BB">
        <w:trPr>
          <w:trHeight w:val="1339"/>
          <w:jc w:val="center"/>
        </w:trPr>
        <w:tc>
          <w:tcPr>
            <w:tcW w:w="8647" w:type="dxa"/>
            <w:gridSpan w:val="2"/>
          </w:tcPr>
          <w:p w14:paraId="06E54FBC" w14:textId="77777777" w:rsidR="00EA15BB" w:rsidRPr="00EA15BB" w:rsidRDefault="00EA15BB" w:rsidP="00EA15BB">
            <w:r w:rsidRPr="00EA15BB">
              <w:t xml:space="preserve">Other suggestions: </w:t>
            </w:r>
          </w:p>
          <w:p w14:paraId="263084EA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5D2B7290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66D6D3F4" w14:textId="77777777" w:rsidR="00EA15BB" w:rsidRPr="00EA15BB" w:rsidRDefault="00EA15BB" w:rsidP="00EA15BB">
      <w:pPr>
        <w:shd w:val="clear" w:color="auto" w:fill="FFFFFF"/>
        <w:snapToGrid w:val="0"/>
        <w:ind w:right="85"/>
        <w:jc w:val="thaiDistribute"/>
        <w:textAlignment w:val="baseline"/>
        <w:rPr>
          <w:rFonts w:eastAsia="Malgun Gothic"/>
          <w:b/>
          <w:bCs/>
        </w:rPr>
      </w:pPr>
      <w:r w:rsidRPr="00EA15BB">
        <w:rPr>
          <w:rFonts w:eastAsia="Malgun Gothic"/>
          <w:b/>
          <w:bCs/>
        </w:rPr>
        <w:t>Question</w:t>
      </w:r>
      <w:r w:rsidRPr="00EA15BB">
        <w:rPr>
          <w:rFonts w:eastAsia="Malgun Gothic" w:hint="cs"/>
          <w:b/>
          <w:bCs/>
        </w:rPr>
        <w:t xml:space="preserve"> </w:t>
      </w:r>
      <w:r w:rsidRPr="00EA15BB">
        <w:rPr>
          <w:rFonts w:eastAsia="Malgun Gothic"/>
          <w:b/>
          <w:bCs/>
        </w:rPr>
        <w:t>7: Review of the disclosure criteria for Real Estate Investment Trusts (REITs), Property Funds, and Infrastructure Funds (collectively referred to as 'Trusts/Funds')</w:t>
      </w:r>
    </w:p>
    <w:p w14:paraId="5A8E2915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 xml:space="preserve">7.1 Do you agree with introducing disclosure requirements upon recognition of asset impairment, provisions for expected credit losses or similar asset-related items, or failure to recover deposits by the due date, where amounts are material, defined as: exceeding 50% of the specific transaction value, exceeding 50% of operating revenues, or causing Trusts/Funds to report a loss? 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53E35ADF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ACAE49F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74B16101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6F12A879" w14:textId="77777777" w:rsidTr="00EA15BB">
        <w:trPr>
          <w:trHeight w:val="1132"/>
          <w:jc w:val="center"/>
        </w:trPr>
        <w:tc>
          <w:tcPr>
            <w:tcW w:w="2376" w:type="dxa"/>
          </w:tcPr>
          <w:p w14:paraId="5422126C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3A29AB47" w14:textId="77777777" w:rsidR="00EA15BB" w:rsidRPr="00EA15BB" w:rsidRDefault="00EA15BB" w:rsidP="00EA15BB">
            <w:r w:rsidRPr="00EA15BB">
              <w:t>(Please explain your reasoning)</w:t>
            </w:r>
          </w:p>
          <w:p w14:paraId="6B9C87CD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404F9954" w14:textId="77777777" w:rsidTr="00EA15BB">
        <w:trPr>
          <w:trHeight w:val="1168"/>
          <w:jc w:val="center"/>
        </w:trPr>
        <w:tc>
          <w:tcPr>
            <w:tcW w:w="2376" w:type="dxa"/>
          </w:tcPr>
          <w:p w14:paraId="39D62477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6741C278" w14:textId="77777777" w:rsidR="00EA15BB" w:rsidRPr="00EA15BB" w:rsidRDefault="00EA15BB" w:rsidP="00EA15BB"/>
        </w:tc>
        <w:tc>
          <w:tcPr>
            <w:tcW w:w="6271" w:type="dxa"/>
          </w:tcPr>
          <w:p w14:paraId="60CE5C3E" w14:textId="77777777" w:rsidR="00EA15BB" w:rsidRPr="00EA15BB" w:rsidRDefault="00EA15BB" w:rsidP="00EA15BB">
            <w:r w:rsidRPr="00EA15BB">
              <w:t>(Please explain your reasoning)</w:t>
            </w:r>
          </w:p>
          <w:p w14:paraId="67B5B0E1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0771B3C6" w14:textId="77777777" w:rsidTr="00EA15BB">
        <w:trPr>
          <w:trHeight w:val="1133"/>
          <w:jc w:val="center"/>
        </w:trPr>
        <w:tc>
          <w:tcPr>
            <w:tcW w:w="8647" w:type="dxa"/>
            <w:gridSpan w:val="2"/>
          </w:tcPr>
          <w:p w14:paraId="48BA1371" w14:textId="77777777" w:rsidR="00EA15BB" w:rsidRPr="00EA15BB" w:rsidRDefault="00EA15BB" w:rsidP="00EA15BB">
            <w:r w:rsidRPr="00EA15BB">
              <w:t xml:space="preserve">Other suggestions: </w:t>
            </w:r>
          </w:p>
          <w:p w14:paraId="2588AD6B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300A5480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1758745D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3774E0AA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>7.2</w:t>
      </w:r>
      <w:r w:rsidRPr="00EA15BB">
        <w:rPr>
          <w:rFonts w:eastAsia="Malgun Gothic"/>
          <w:cs/>
        </w:rPr>
        <w:t xml:space="preserve"> </w:t>
      </w:r>
      <w:r w:rsidRPr="00EA15BB">
        <w:rPr>
          <w:rFonts w:eastAsia="Malgun Gothic"/>
        </w:rPr>
        <w:t>Do you agree with imposing the 'Notice Pending' (NP) designation when Trusts/Funds fails to disclose the list of holders as required?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6568ACA5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9DB9B2C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8DCB06B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32470FB5" w14:textId="77777777" w:rsidTr="00EA15BB">
        <w:trPr>
          <w:trHeight w:val="1177"/>
          <w:jc w:val="center"/>
        </w:trPr>
        <w:tc>
          <w:tcPr>
            <w:tcW w:w="2376" w:type="dxa"/>
          </w:tcPr>
          <w:p w14:paraId="7BB4237C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48C23B51" w14:textId="77777777" w:rsidR="00EA15BB" w:rsidRPr="00EA15BB" w:rsidRDefault="00EA15BB" w:rsidP="00EA15BB">
            <w:r w:rsidRPr="00EA15BB">
              <w:t>(Please explain your reasoning)</w:t>
            </w:r>
          </w:p>
          <w:p w14:paraId="5E6A6239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3B3319F9" w14:textId="77777777" w:rsidTr="00EA15BB">
        <w:trPr>
          <w:trHeight w:val="1249"/>
          <w:jc w:val="center"/>
        </w:trPr>
        <w:tc>
          <w:tcPr>
            <w:tcW w:w="2376" w:type="dxa"/>
          </w:tcPr>
          <w:p w14:paraId="6B3254EA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04F07DC3" w14:textId="77777777" w:rsidR="00EA15BB" w:rsidRPr="00EA15BB" w:rsidRDefault="00EA15BB" w:rsidP="00EA15BB"/>
        </w:tc>
        <w:tc>
          <w:tcPr>
            <w:tcW w:w="6271" w:type="dxa"/>
          </w:tcPr>
          <w:p w14:paraId="191552EC" w14:textId="77777777" w:rsidR="00EA15BB" w:rsidRPr="00EA15BB" w:rsidRDefault="00EA15BB" w:rsidP="00EA15BB">
            <w:r w:rsidRPr="00EA15BB">
              <w:t>(Please explain your reasoning)</w:t>
            </w:r>
          </w:p>
          <w:p w14:paraId="621ADA3C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42090FFD" w14:textId="77777777" w:rsidTr="00EA15BB">
        <w:trPr>
          <w:trHeight w:val="1789"/>
          <w:jc w:val="center"/>
        </w:trPr>
        <w:tc>
          <w:tcPr>
            <w:tcW w:w="8647" w:type="dxa"/>
            <w:gridSpan w:val="2"/>
          </w:tcPr>
          <w:p w14:paraId="327827B2" w14:textId="77777777" w:rsidR="00EA15BB" w:rsidRPr="00EA15BB" w:rsidRDefault="00EA15BB" w:rsidP="00EA15BB">
            <w:r w:rsidRPr="00EA15BB">
              <w:t xml:space="preserve">Other suggestions: </w:t>
            </w:r>
          </w:p>
          <w:p w14:paraId="4697A105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70B72836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3D8E8E83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7.3</w:t>
      </w:r>
      <w:r w:rsidRPr="00EA15BB">
        <w:rPr>
          <w:rFonts w:eastAsia="Malgun Gothic"/>
          <w:cs/>
        </w:rPr>
        <w:t xml:space="preserve"> </w:t>
      </w:r>
      <w:r w:rsidRPr="00EA15BB">
        <w:rPr>
          <w:rFonts w:eastAsia="Malgun Gothic"/>
        </w:rPr>
        <w:t>Do you agree with mandating immediate disclosure of any event and subsequent progress when a Fund files for business rehabilitation or is subject to bankruptcy proceedings?</w:t>
      </w:r>
      <w:r w:rsidRPr="00EA15BB">
        <w:rPr>
          <w:rFonts w:eastAsia="Malgun Gothic"/>
          <w:cs/>
        </w:rPr>
        <w:t xml:space="preserve">   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0F0C0BDE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0FE0AD6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4CF28603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39D00E65" w14:textId="77777777" w:rsidTr="00EA15BB">
        <w:trPr>
          <w:trHeight w:val="1321"/>
          <w:jc w:val="center"/>
        </w:trPr>
        <w:tc>
          <w:tcPr>
            <w:tcW w:w="2376" w:type="dxa"/>
          </w:tcPr>
          <w:p w14:paraId="5C2FF0E7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3639C308" w14:textId="77777777" w:rsidR="00EA15BB" w:rsidRPr="00EA15BB" w:rsidRDefault="00EA15BB" w:rsidP="00EA15BB">
            <w:r w:rsidRPr="00EA15BB">
              <w:t>(Please explain your reasoning)</w:t>
            </w:r>
          </w:p>
          <w:p w14:paraId="60FBE012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33001839" w14:textId="77777777" w:rsidTr="00EA15BB">
        <w:trPr>
          <w:trHeight w:val="1528"/>
          <w:jc w:val="center"/>
        </w:trPr>
        <w:tc>
          <w:tcPr>
            <w:tcW w:w="2376" w:type="dxa"/>
          </w:tcPr>
          <w:p w14:paraId="7DC51C31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0DD78C66" w14:textId="77777777" w:rsidR="00EA15BB" w:rsidRPr="00EA15BB" w:rsidRDefault="00EA15BB" w:rsidP="00EA15BB"/>
        </w:tc>
        <w:tc>
          <w:tcPr>
            <w:tcW w:w="6271" w:type="dxa"/>
          </w:tcPr>
          <w:p w14:paraId="2131DDA1" w14:textId="77777777" w:rsidR="00EA15BB" w:rsidRPr="00EA15BB" w:rsidRDefault="00EA15BB" w:rsidP="00EA15BB">
            <w:r w:rsidRPr="00EA15BB">
              <w:t>(Please explain your reasoning)</w:t>
            </w:r>
          </w:p>
          <w:p w14:paraId="1110224A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231F108D" w14:textId="77777777" w:rsidTr="00EA15BB">
        <w:trPr>
          <w:trHeight w:val="2059"/>
          <w:jc w:val="center"/>
        </w:trPr>
        <w:tc>
          <w:tcPr>
            <w:tcW w:w="8647" w:type="dxa"/>
            <w:gridSpan w:val="2"/>
          </w:tcPr>
          <w:p w14:paraId="25AE040C" w14:textId="77777777" w:rsidR="00EA15BB" w:rsidRPr="00EA15BB" w:rsidRDefault="00EA15BB" w:rsidP="00EA15BB">
            <w:r w:rsidRPr="00EA15BB">
              <w:t xml:space="preserve">Other suggestions: </w:t>
            </w:r>
          </w:p>
          <w:p w14:paraId="1FDE02D3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79CAB807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</w:p>
    <w:p w14:paraId="7102D755" w14:textId="77777777" w:rsidR="00EA15BB" w:rsidRPr="00EA15BB" w:rsidRDefault="00EA15BB" w:rsidP="00EA15BB">
      <w:pPr>
        <w:shd w:val="clear" w:color="auto" w:fill="FFFFFF"/>
        <w:snapToGrid w:val="0"/>
        <w:spacing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lastRenderedPageBreak/>
        <w:t>7.4 Do you agree with abolishing disclosure obligations regarding the launch of new products and the acquisition or disposition of commercial agreements?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7D04B6E7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50BBC36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7E401F7B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3B934631" w14:textId="77777777" w:rsidTr="00EA15BB">
        <w:trPr>
          <w:jc w:val="center"/>
        </w:trPr>
        <w:tc>
          <w:tcPr>
            <w:tcW w:w="2376" w:type="dxa"/>
          </w:tcPr>
          <w:p w14:paraId="38E9BA9F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79A94598" w14:textId="77777777" w:rsidR="00EA15BB" w:rsidRPr="00EA15BB" w:rsidRDefault="00EA15BB" w:rsidP="00EA15BB">
            <w:r w:rsidRPr="00EA15BB">
              <w:t>(Please explain your reasoning)</w:t>
            </w:r>
          </w:p>
          <w:p w14:paraId="6DDFBE45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12C65212" w14:textId="77777777" w:rsidTr="00EA15BB">
        <w:trPr>
          <w:jc w:val="center"/>
        </w:trPr>
        <w:tc>
          <w:tcPr>
            <w:tcW w:w="2376" w:type="dxa"/>
          </w:tcPr>
          <w:p w14:paraId="1BF899A6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2B2B3299" w14:textId="77777777" w:rsidR="00EA15BB" w:rsidRPr="00EA15BB" w:rsidRDefault="00EA15BB" w:rsidP="00EA15BB"/>
        </w:tc>
        <w:tc>
          <w:tcPr>
            <w:tcW w:w="6271" w:type="dxa"/>
          </w:tcPr>
          <w:p w14:paraId="3340E163" w14:textId="77777777" w:rsidR="00EA15BB" w:rsidRPr="00EA15BB" w:rsidRDefault="00EA15BB" w:rsidP="00EA15BB">
            <w:r w:rsidRPr="00EA15BB">
              <w:t>(Please explain your reasoning)</w:t>
            </w:r>
          </w:p>
          <w:p w14:paraId="5B136995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FB2D802" w14:textId="77777777" w:rsidTr="00EA15BB">
        <w:trPr>
          <w:trHeight w:val="1133"/>
          <w:jc w:val="center"/>
        </w:trPr>
        <w:tc>
          <w:tcPr>
            <w:tcW w:w="8647" w:type="dxa"/>
            <w:gridSpan w:val="2"/>
          </w:tcPr>
          <w:p w14:paraId="5D474751" w14:textId="77777777" w:rsidR="00EA15BB" w:rsidRPr="00EA15BB" w:rsidRDefault="00EA15BB" w:rsidP="00EA15BB">
            <w:r w:rsidRPr="00EA15BB">
              <w:t xml:space="preserve">Other suggestions: </w:t>
            </w:r>
          </w:p>
          <w:p w14:paraId="1287D2E8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0B15BABE" w14:textId="77777777" w:rsidR="00EA15BB" w:rsidRPr="00EA15BB" w:rsidRDefault="00EA15BB" w:rsidP="00EA15BB">
      <w:pPr>
        <w:shd w:val="clear" w:color="auto" w:fill="FFFFFF"/>
        <w:snapToGrid w:val="0"/>
        <w:spacing w:before="240" w:after="120"/>
        <w:ind w:right="86"/>
        <w:jc w:val="thaiDistribute"/>
        <w:textAlignment w:val="baseline"/>
        <w:rPr>
          <w:rFonts w:eastAsia="Malgun Gothic"/>
        </w:rPr>
      </w:pPr>
      <w:r w:rsidRPr="00EA15BB">
        <w:rPr>
          <w:rFonts w:eastAsia="Malgun Gothic"/>
        </w:rPr>
        <w:t>7.5 Do you agree with abolishing the requirement to submit property appraisal reports to reduce redundancy with the SEC provisions?</w:t>
      </w:r>
    </w:p>
    <w:tbl>
      <w:tblPr>
        <w:tblStyle w:val="TableGrid"/>
        <w:tblW w:w="8647" w:type="dxa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A15BB" w:rsidRPr="00EA15BB" w14:paraId="3559D290" w14:textId="77777777" w:rsidTr="00EA15BB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BA9C1CB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</w:t>
            </w:r>
          </w:p>
        </w:tc>
        <w:tc>
          <w:tcPr>
            <w:tcW w:w="6271" w:type="dxa"/>
            <w:shd w:val="clear" w:color="auto" w:fill="FFFFFF"/>
          </w:tcPr>
          <w:p w14:paraId="1A7C807C" w14:textId="77777777" w:rsidR="00EA15BB" w:rsidRPr="00EA15BB" w:rsidRDefault="00EA15BB" w:rsidP="00EA15BB">
            <w:pPr>
              <w:rPr>
                <w:cs/>
              </w:rPr>
            </w:pPr>
          </w:p>
        </w:tc>
      </w:tr>
      <w:tr w:rsidR="00EA15BB" w:rsidRPr="00EA15BB" w14:paraId="2A3FA9B1" w14:textId="77777777" w:rsidTr="00EA15BB">
        <w:trPr>
          <w:jc w:val="center"/>
        </w:trPr>
        <w:tc>
          <w:tcPr>
            <w:tcW w:w="2376" w:type="dxa"/>
          </w:tcPr>
          <w:p w14:paraId="51EFBD05" w14:textId="77777777" w:rsidR="00EA15BB" w:rsidRPr="00EA15BB" w:rsidRDefault="00EA15BB" w:rsidP="00EA15BB">
            <w:pPr>
              <w:rPr>
                <w:cs/>
              </w:rPr>
            </w:pPr>
            <w:r w:rsidRPr="00EA15BB">
              <w:sym w:font="Wingdings 2" w:char="F0A3"/>
            </w:r>
            <w:r w:rsidRPr="00EA15BB">
              <w:t xml:space="preserve"> Agree, but the details are otherwise.</w:t>
            </w:r>
          </w:p>
        </w:tc>
        <w:tc>
          <w:tcPr>
            <w:tcW w:w="6271" w:type="dxa"/>
          </w:tcPr>
          <w:p w14:paraId="7533596E" w14:textId="77777777" w:rsidR="00EA15BB" w:rsidRPr="00EA15BB" w:rsidRDefault="00EA15BB" w:rsidP="00EA15BB">
            <w:r w:rsidRPr="00EA15BB">
              <w:t>(Please explain your reasoning)</w:t>
            </w:r>
          </w:p>
          <w:p w14:paraId="4DFAD163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38205BB3" w14:textId="77777777" w:rsidTr="00EA15BB">
        <w:trPr>
          <w:jc w:val="center"/>
        </w:trPr>
        <w:tc>
          <w:tcPr>
            <w:tcW w:w="2376" w:type="dxa"/>
          </w:tcPr>
          <w:p w14:paraId="675DC643" w14:textId="77777777" w:rsidR="00EA15BB" w:rsidRPr="00EA15BB" w:rsidRDefault="00EA15BB" w:rsidP="00EA15BB">
            <w:r w:rsidRPr="00EA15BB">
              <w:sym w:font="Wingdings 2" w:char="F0A3"/>
            </w:r>
            <w:r w:rsidRPr="00EA15BB">
              <w:t xml:space="preserve"> Disagree</w:t>
            </w:r>
          </w:p>
          <w:p w14:paraId="138BE5D0" w14:textId="77777777" w:rsidR="00EA15BB" w:rsidRPr="00EA15BB" w:rsidRDefault="00EA15BB" w:rsidP="00EA15BB"/>
        </w:tc>
        <w:tc>
          <w:tcPr>
            <w:tcW w:w="6271" w:type="dxa"/>
          </w:tcPr>
          <w:p w14:paraId="78FC1E7F" w14:textId="77777777" w:rsidR="00EA15BB" w:rsidRPr="00EA15BB" w:rsidRDefault="00EA15BB" w:rsidP="00EA15BB">
            <w:r w:rsidRPr="00EA15BB">
              <w:t>(Please explain your reasoning)</w:t>
            </w:r>
          </w:p>
          <w:p w14:paraId="7B2AE857" w14:textId="77777777" w:rsidR="00EA15BB" w:rsidRPr="00EA15BB" w:rsidRDefault="00EA15BB" w:rsidP="00EA15BB">
            <w:pPr>
              <w:rPr>
                <w:sz w:val="44"/>
                <w:szCs w:val="44"/>
              </w:rPr>
            </w:pPr>
          </w:p>
        </w:tc>
      </w:tr>
      <w:tr w:rsidR="00EA15BB" w:rsidRPr="00EA15BB" w14:paraId="71F5514C" w14:textId="77777777" w:rsidTr="00EA15BB">
        <w:trPr>
          <w:trHeight w:val="1133"/>
          <w:jc w:val="center"/>
        </w:trPr>
        <w:tc>
          <w:tcPr>
            <w:tcW w:w="8647" w:type="dxa"/>
            <w:gridSpan w:val="2"/>
          </w:tcPr>
          <w:p w14:paraId="4C6AB2E0" w14:textId="77777777" w:rsidR="00EA15BB" w:rsidRPr="00EA15BB" w:rsidRDefault="00EA15BB" w:rsidP="00EA15BB">
            <w:r w:rsidRPr="00EA15BB">
              <w:t xml:space="preserve">Other suggestions: </w:t>
            </w:r>
          </w:p>
          <w:p w14:paraId="345D14D7" w14:textId="77777777" w:rsidR="00EA15BB" w:rsidRPr="00EA15BB" w:rsidRDefault="00EA15BB" w:rsidP="00EA15BB">
            <w:pPr>
              <w:rPr>
                <w:sz w:val="72"/>
                <w:szCs w:val="72"/>
                <w:cs/>
              </w:rPr>
            </w:pPr>
          </w:p>
        </w:tc>
      </w:tr>
    </w:tbl>
    <w:p w14:paraId="6B3CBE9A" w14:textId="77777777" w:rsidR="00EA15BB" w:rsidRPr="00EA15BB" w:rsidRDefault="00EA15BB" w:rsidP="00EA15BB">
      <w:pPr>
        <w:spacing w:before="120"/>
      </w:pPr>
      <w:r w:rsidRPr="00EA15BB">
        <w:rPr>
          <w:b/>
          <w:bCs/>
        </w:rPr>
        <w:t>Other suggestions</w:t>
      </w:r>
      <w:r w:rsidRPr="00EA15BB">
        <w:rPr>
          <w:cs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15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690CAA" w14:textId="77777777" w:rsidR="00EA15BB" w:rsidRPr="00EA15BB" w:rsidRDefault="00EA15BB" w:rsidP="00EA15BB">
      <w:pPr>
        <w:spacing w:before="240"/>
        <w:ind w:left="-91" w:right="-6" w:firstLine="811"/>
        <w:jc w:val="thaiDistribute"/>
      </w:pPr>
      <w:bookmarkStart w:id="1" w:name="_Hlk108530095"/>
      <w:r w:rsidRPr="00EA15BB">
        <w:t xml:space="preserve">Please submit your comments and suggestions by </w:t>
      </w:r>
      <w:r w:rsidRPr="00270491">
        <w:t>November 14, 2025.</w:t>
      </w:r>
      <w:r w:rsidRPr="00EA15BB">
        <w:rPr>
          <w:rFonts w:hint="cs"/>
        </w:rPr>
        <w:t xml:space="preserve"> </w:t>
      </w:r>
      <w:r w:rsidRPr="00EA15BB">
        <w:t xml:space="preserve">SET will process your personal information for the purpose of Market Consultation, our policy on protection of personal data is set out in the Privacy Notice accessible via this link </w:t>
      </w:r>
      <w:hyperlink r:id="rId12" w:history="1">
        <w:r w:rsidRPr="00EA15BB">
          <w:rPr>
            <w:u w:val="single"/>
          </w:rPr>
          <w:t>https://www.set.or.th/th/privacy-notice</w:t>
        </w:r>
      </w:hyperlink>
    </w:p>
    <w:p w14:paraId="6AC749BE" w14:textId="3961DD3F" w:rsidR="00EA15BB" w:rsidRPr="00EA15BB" w:rsidRDefault="00EA15BB" w:rsidP="00EA15BB">
      <w:pPr>
        <w:snapToGrid w:val="0"/>
        <w:spacing w:before="120"/>
        <w:ind w:left="289" w:firstLine="431"/>
        <w:jc w:val="thaiDistribute"/>
      </w:pPr>
      <w:r w:rsidRPr="00EA15BB">
        <w:t>SET would like to thank you for your comments and suggestions on this occasion.</w:t>
      </w:r>
      <w:bookmarkEnd w:id="1"/>
    </w:p>
    <w:sectPr w:rsidR="00EA15BB" w:rsidRPr="00EA15BB" w:rsidSect="00A66971">
      <w:headerReference w:type="default" r:id="rId13"/>
      <w:footerReference w:type="default" r:id="rId14"/>
      <w:pgSz w:w="11906" w:h="16838" w:code="9"/>
      <w:pgMar w:top="1135" w:right="1274" w:bottom="0" w:left="1276" w:header="706" w:footer="67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6F8D" w14:textId="77777777" w:rsidR="004A4261" w:rsidRDefault="004A4261" w:rsidP="00A66971">
      <w:r>
        <w:separator/>
      </w:r>
    </w:p>
  </w:endnote>
  <w:endnote w:type="continuationSeparator" w:id="0">
    <w:p w14:paraId="16D53552" w14:textId="77777777" w:rsidR="004A4261" w:rsidRDefault="004A4261" w:rsidP="00A6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AF84" w14:textId="77777777" w:rsidR="00A66971" w:rsidRPr="00841291" w:rsidRDefault="00A66971" w:rsidP="00EF35B9">
    <w:pPr>
      <w:pStyle w:val="Footer"/>
      <w:framePr w:wrap="around" w:vAnchor="text" w:hAnchor="page" w:x="10051" w:y="44"/>
      <w:rPr>
        <w:rStyle w:val="PageNumber"/>
        <w:color w:val="275317" w:themeColor="accent6" w:themeShade="80"/>
        <w:szCs w:val="30"/>
      </w:rPr>
    </w:pPr>
    <w:r w:rsidRPr="00841291">
      <w:rPr>
        <w:rStyle w:val="PageNumber"/>
        <w:color w:val="275317" w:themeColor="accent6" w:themeShade="80"/>
        <w:szCs w:val="30"/>
        <w:cs/>
      </w:rPr>
      <w:fldChar w:fldCharType="begin"/>
    </w:r>
    <w:r w:rsidRPr="00841291">
      <w:rPr>
        <w:rStyle w:val="PageNumber"/>
        <w:color w:val="275317" w:themeColor="accent6" w:themeShade="80"/>
        <w:szCs w:val="30"/>
      </w:rPr>
      <w:instrText xml:space="preserve">PAGE  </w:instrText>
    </w:r>
    <w:r w:rsidRPr="00841291">
      <w:rPr>
        <w:rStyle w:val="PageNumber"/>
        <w:color w:val="275317" w:themeColor="accent6" w:themeShade="80"/>
        <w:szCs w:val="30"/>
        <w:cs/>
      </w:rPr>
      <w:fldChar w:fldCharType="separate"/>
    </w:r>
    <w:r w:rsidRPr="00D84186">
      <w:rPr>
        <w:rStyle w:val="PageNumber"/>
        <w:noProof/>
        <w:color w:val="275317" w:themeColor="accent6" w:themeShade="80"/>
        <w:szCs w:val="30"/>
      </w:rPr>
      <w:t>6</w:t>
    </w:r>
    <w:r w:rsidRPr="00841291">
      <w:rPr>
        <w:rStyle w:val="PageNumber"/>
        <w:color w:val="275317" w:themeColor="accent6" w:themeShade="80"/>
        <w:szCs w:val="30"/>
        <w:cs/>
      </w:rPr>
      <w:fldChar w:fldCharType="end"/>
    </w:r>
  </w:p>
  <w:p w14:paraId="48AD1938" w14:textId="77777777" w:rsidR="00A66971" w:rsidRPr="00CB7E75" w:rsidRDefault="00A66971" w:rsidP="00841291">
    <w:pPr>
      <w:pStyle w:val="Footer"/>
      <w:pBdr>
        <w:top w:val="single" w:sz="12" w:space="1" w:color="275317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1B09A780" wp14:editId="5C6B90F2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785022065" name="Picture 785022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F7B9" w14:textId="77777777" w:rsidR="004A4261" w:rsidRDefault="004A4261" w:rsidP="00A66971">
      <w:r>
        <w:separator/>
      </w:r>
    </w:p>
  </w:footnote>
  <w:footnote w:type="continuationSeparator" w:id="0">
    <w:p w14:paraId="4D6F141B" w14:textId="77777777" w:rsidR="004A4261" w:rsidRDefault="004A4261" w:rsidP="00A66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D0CC" w14:textId="77777777" w:rsidR="005D27EE" w:rsidRPr="005D27EE" w:rsidRDefault="005D27EE" w:rsidP="005D27EE">
    <w:pPr>
      <w:snapToGrid w:val="0"/>
      <w:spacing w:line="192" w:lineRule="auto"/>
      <w:ind w:right="86"/>
      <w:jc w:val="right"/>
      <w:rPr>
        <w:color w:val="984806"/>
        <w:sz w:val="24"/>
        <w:szCs w:val="24"/>
      </w:rPr>
    </w:pPr>
    <w:r w:rsidRPr="005D27EE">
      <w:rPr>
        <w:color w:val="984806"/>
        <w:sz w:val="24"/>
        <w:szCs w:val="24"/>
      </w:rPr>
      <w:t xml:space="preserve">Market Consultation: Revision of Listing Rules for Listed Companies and </w:t>
    </w:r>
    <w:r w:rsidRPr="005D27EE">
      <w:rPr>
        <w:color w:val="984806"/>
        <w:sz w:val="24"/>
        <w:szCs w:val="24"/>
      </w:rPr>
      <w:br/>
      <w:t>Disclosure Requirements for Trusts, Property Funds, and Infrastructure Funds</w:t>
    </w:r>
  </w:p>
  <w:p w14:paraId="1AF577D4" w14:textId="5FC3EDB3" w:rsidR="00A66971" w:rsidRPr="005D27EE" w:rsidRDefault="00A66971" w:rsidP="005D27EE">
    <w:pPr>
      <w:jc w:val="center"/>
      <w:rPr>
        <w:rFonts w:ascii="Cordia New" w:hAnsi="Cordia New" w:cs="Cordia New"/>
        <w:color w:val="1F497D"/>
        <w:sz w:val="24"/>
        <w:szCs w:val="24"/>
      </w:rPr>
    </w:pPr>
    <w:r w:rsidRPr="00A66971">
      <w:rPr>
        <w:noProof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54930B14" wp14:editId="7E841E75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E39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" strokecolor="#7f340d [16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AAA"/>
    <w:multiLevelType w:val="multilevel"/>
    <w:tmpl w:val="F176F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6561">
    <w:abstractNumId w:val="1"/>
  </w:num>
  <w:num w:numId="2" w16cid:durableId="143828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71"/>
    <w:rsid w:val="00222162"/>
    <w:rsid w:val="00270491"/>
    <w:rsid w:val="002B3C2C"/>
    <w:rsid w:val="003E4D93"/>
    <w:rsid w:val="004A4261"/>
    <w:rsid w:val="005163AF"/>
    <w:rsid w:val="005D27EE"/>
    <w:rsid w:val="006B1C7E"/>
    <w:rsid w:val="006D6228"/>
    <w:rsid w:val="0071548C"/>
    <w:rsid w:val="00736EC2"/>
    <w:rsid w:val="007B1564"/>
    <w:rsid w:val="008847E2"/>
    <w:rsid w:val="00990D99"/>
    <w:rsid w:val="00A66971"/>
    <w:rsid w:val="00B71439"/>
    <w:rsid w:val="00D62579"/>
    <w:rsid w:val="00EA15BB"/>
    <w:rsid w:val="00EE41C7"/>
    <w:rsid w:val="00F4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A441C"/>
  <w15:chartTrackingRefBased/>
  <w15:docId w15:val="{A2835CD9-D92A-44DE-A580-C177747F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71"/>
    <w:pPr>
      <w:spacing w:after="0"/>
    </w:pPr>
    <w:rPr>
      <w:rFonts w:ascii="Browallia New" w:eastAsia="MS Mincho" w:hAnsi="Browallia New" w:cs="Browallia New"/>
      <w:kern w:val="0"/>
      <w:sz w:val="3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669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71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97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7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7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669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669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6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7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A66971"/>
    <w:pPr>
      <w:tabs>
        <w:tab w:val="center" w:pos="4153"/>
        <w:tab w:val="right" w:pos="830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6971"/>
    <w:rPr>
      <w:rFonts w:ascii="Browallia New" w:eastAsia="MS Mincho" w:hAnsi="Browallia New" w:cs="Browallia New"/>
      <w:kern w:val="0"/>
      <w:sz w:val="30"/>
      <w:szCs w:val="35"/>
      <w14:ligatures w14:val="none"/>
    </w:rPr>
  </w:style>
  <w:style w:type="character" w:styleId="PageNumber">
    <w:name w:val="page number"/>
    <w:basedOn w:val="DefaultParagraphFont"/>
    <w:rsid w:val="00A66971"/>
  </w:style>
  <w:style w:type="table" w:styleId="TableGrid">
    <w:name w:val="Table Grid"/>
    <w:basedOn w:val="TableNormal"/>
    <w:uiPriority w:val="39"/>
    <w:rsid w:val="00A66971"/>
    <w:pPr>
      <w:spacing w:after="0"/>
    </w:pPr>
    <w:rPr>
      <w:rFonts w:ascii="Browallia New" w:eastAsia="MS Mincho" w:hAnsi="Browallia New" w:cs="Browallia New"/>
      <w:kern w:val="0"/>
      <w:sz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97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97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6971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A66971"/>
    <w:rPr>
      <w:rFonts w:ascii="Browallia New" w:eastAsia="MS Mincho" w:hAnsi="Browallia New" w:cs="Angsana New"/>
      <w:kern w:val="0"/>
      <w:sz w:val="30"/>
      <w:szCs w:val="3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8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SupervisionPolicyDepartment@set.or.t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Kiun5QRsvrNojRdMA" TargetMode="External"/><Relationship Id="rId12" Type="http://schemas.openxmlformats.org/officeDocument/2006/relationships/hyperlink" Target="https://www.set.or.th/th/privacy-noti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1479</Words>
  <Characters>8669</Characters>
  <Application>Microsoft Office Word</Application>
  <DocSecurity>0</DocSecurity>
  <Lines>412</Lines>
  <Paragraphs>215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PASIT JIRAPONG</dc:creator>
  <cp:keywords/>
  <dc:description/>
  <cp:lastModifiedBy>WAREEYA PHILUEKRUEANG</cp:lastModifiedBy>
  <cp:revision>4</cp:revision>
  <dcterms:created xsi:type="dcterms:W3CDTF">2025-10-17T02:20:00Z</dcterms:created>
  <dcterms:modified xsi:type="dcterms:W3CDTF">2025-10-17T08:44:00Z</dcterms:modified>
</cp:coreProperties>
</file>